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6F5C1">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附件</w:t>
      </w:r>
      <w:r>
        <w:rPr>
          <w:rFonts w:hint="eastAsia" w:ascii="仿宋" w:hAnsi="仿宋" w:eastAsia="仿宋" w:cs="Times New Roman"/>
          <w:sz w:val="26"/>
          <w:szCs w:val="26"/>
          <w:highlight w:val="none"/>
          <w:lang w:val="en-US" w:eastAsia="zh-CN"/>
        </w:rPr>
        <w:t>1</w:t>
      </w:r>
      <w:r>
        <w:rPr>
          <w:rFonts w:hint="eastAsia" w:ascii="仿宋" w:hAnsi="仿宋" w:eastAsia="仿宋" w:cs="Times New Roman"/>
          <w:sz w:val="26"/>
          <w:szCs w:val="26"/>
          <w:highlight w:val="none"/>
        </w:rPr>
        <w:t xml:space="preserve"> </w:t>
      </w:r>
      <w:r>
        <w:rPr>
          <w:rFonts w:hint="eastAsia" w:ascii="仿宋" w:hAnsi="仿宋" w:eastAsia="仿宋" w:cs="Times New Roman"/>
          <w:color w:val="FF0000"/>
          <w:sz w:val="26"/>
          <w:szCs w:val="26"/>
          <w:highlight w:val="none"/>
        </w:rPr>
        <w:t xml:space="preserve"> </w:t>
      </w:r>
      <w:r>
        <w:rPr>
          <w:rFonts w:hint="eastAsia" w:ascii="仿宋" w:hAnsi="仿宋" w:eastAsia="仿宋" w:cs="Times New Roman"/>
          <w:sz w:val="26"/>
          <w:szCs w:val="26"/>
          <w:highlight w:val="none"/>
        </w:rPr>
        <w:t xml:space="preserve">                                           THJ-ZB-03</w:t>
      </w:r>
    </w:p>
    <w:p w14:paraId="7E9F1573">
      <w:pPr>
        <w:spacing w:before="12" w:line="360" w:lineRule="auto"/>
        <w:jc w:val="center"/>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中交天津航道局有限公司</w:t>
      </w:r>
    </w:p>
    <w:p w14:paraId="62D7AB78">
      <w:pPr>
        <w:spacing w:before="12" w:line="360" w:lineRule="auto"/>
        <w:jc w:val="center"/>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天航局总部</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亿</w:t>
      </w:r>
      <w:r>
        <w:rPr>
          <w:rFonts w:ascii="仿宋" w:hAnsi="仿宋" w:eastAsia="仿宋" w:cs="Times New Roman"/>
          <w:sz w:val="26"/>
          <w:szCs w:val="26"/>
          <w:highlight w:val="none"/>
        </w:rPr>
        <w:t>贷款</w:t>
      </w:r>
      <w:r>
        <w:rPr>
          <w:rFonts w:hint="eastAsia" w:ascii="仿宋" w:hAnsi="仿宋" w:eastAsia="仿宋" w:cs="Times New Roman"/>
          <w:sz w:val="26"/>
          <w:szCs w:val="26"/>
          <w:highlight w:val="none"/>
        </w:rPr>
        <w:t>业务招标比选文件</w:t>
      </w:r>
      <w:r>
        <w:rPr>
          <w:rFonts w:hint="eastAsia" w:ascii="仿宋" w:hAnsi="仿宋" w:eastAsia="仿宋" w:cs="Times New Roman"/>
          <w:sz w:val="20"/>
          <w:szCs w:val="20"/>
          <w:highlight w:val="none"/>
        </w:rPr>
        <w:t>（20260108-01 1年期2亿）</w:t>
      </w:r>
    </w:p>
    <w:p w14:paraId="06DA096B">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一、招标文件内容</w:t>
      </w:r>
      <w:bookmarkStart w:id="1" w:name="_GoBack"/>
      <w:bookmarkEnd w:id="1"/>
    </w:p>
    <w:p w14:paraId="75A7F3C8">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1.招标公告（投标邀请书）详见附件内容</w:t>
      </w:r>
    </w:p>
    <w:p w14:paraId="24D1854E">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2.投标人须知</w:t>
      </w:r>
    </w:p>
    <w:p w14:paraId="47403C69">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（1）项目名称：天航局总部</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亿</w:t>
      </w:r>
      <w:r>
        <w:rPr>
          <w:rFonts w:ascii="仿宋" w:hAnsi="仿宋" w:eastAsia="仿宋" w:cs="Times New Roman"/>
          <w:sz w:val="26"/>
          <w:szCs w:val="26"/>
          <w:highlight w:val="none"/>
        </w:rPr>
        <w:t>贷款</w:t>
      </w:r>
      <w:r>
        <w:rPr>
          <w:rFonts w:hint="eastAsia" w:ascii="仿宋" w:hAnsi="仿宋" w:eastAsia="仿宋" w:cs="Times New Roman"/>
          <w:sz w:val="26"/>
          <w:szCs w:val="26"/>
          <w:highlight w:val="none"/>
        </w:rPr>
        <w:t>业务。</w:t>
      </w:r>
    </w:p>
    <w:p w14:paraId="614B9FDD">
      <w:pPr>
        <w:ind w:firstLine="520" w:firstLineChars="200"/>
        <w:rPr>
          <w:rFonts w:hint="eastAsia" w:ascii="仿宋" w:hAnsi="仿宋" w:eastAsia="仿宋" w:cs="仿宋"/>
          <w:color w:val="000000"/>
          <w:sz w:val="28"/>
          <w:szCs w:val="28"/>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（2）项目概况：</w:t>
      </w:r>
      <w:r>
        <w:rPr>
          <w:rFonts w:hint="eastAsia" w:ascii="仿宋" w:hAnsi="仿宋" w:eastAsia="仿宋" w:cs="仿宋"/>
          <w:color w:val="000000"/>
          <w:sz w:val="28"/>
          <w:szCs w:val="28"/>
          <w:highlight w:val="none"/>
        </w:rPr>
        <w:t>天航局</w:t>
      </w:r>
      <w:r>
        <w:rPr>
          <w:rFonts w:hint="eastAsia" w:ascii="仿宋" w:hAnsi="仿宋" w:eastAsia="仿宋"/>
          <w:sz w:val="28"/>
          <w:szCs w:val="28"/>
          <w:highlight w:val="none"/>
        </w:rPr>
        <w:t>拟于</w:t>
      </w:r>
      <w:r>
        <w:rPr>
          <w:rFonts w:hint="eastAsia" w:ascii="仿宋" w:hAnsi="仿宋" w:eastAsia="仿宋"/>
          <w:sz w:val="28"/>
          <w:szCs w:val="28"/>
          <w:highlight w:val="none"/>
        </w:rPr>
        <w:t>2</w:t>
      </w:r>
      <w:r>
        <w:rPr>
          <w:rFonts w:ascii="仿宋" w:hAnsi="仿宋" w:eastAsia="仿宋"/>
          <w:sz w:val="28"/>
          <w:szCs w:val="28"/>
          <w:highlight w:val="none"/>
        </w:rPr>
        <w:t>02</w:t>
      </w:r>
      <w:r>
        <w:rPr>
          <w:rFonts w:hint="eastAsia" w:ascii="仿宋" w:hAnsi="仿宋" w:eastAsia="仿宋"/>
          <w:sz w:val="28"/>
          <w:szCs w:val="28"/>
          <w:highlight w:val="none"/>
        </w:rPr>
        <w:t>5年1月</w:t>
      </w:r>
      <w:r>
        <w:rPr>
          <w:rFonts w:hint="eastAsia" w:ascii="仿宋" w:hAnsi="仿宋" w:eastAsia="仿宋"/>
          <w:sz w:val="28"/>
          <w:szCs w:val="28"/>
          <w:highlight w:val="none"/>
        </w:rPr>
        <w:t>在外部商业银行申请流动资金贷款</w:t>
      </w:r>
      <w:r>
        <w:rPr>
          <w:rFonts w:hint="eastAsia" w:ascii="仿宋" w:hAnsi="仿宋" w:eastAsia="仿宋"/>
          <w:sz w:val="28"/>
          <w:szCs w:val="28"/>
          <w:highlight w:val="none"/>
        </w:rPr>
        <w:t>2亿元</w:t>
      </w:r>
      <w:r>
        <w:rPr>
          <w:rFonts w:hint="eastAsia" w:ascii="仿宋" w:hAnsi="仿宋" w:eastAsia="仿宋" w:cs="仿宋"/>
          <w:color w:val="000000"/>
          <w:sz w:val="28"/>
          <w:szCs w:val="28"/>
          <w:highlight w:val="none"/>
        </w:rPr>
        <w:t>，期限</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rPr>
        <w:t>年。基于与贵行的友好合作关系，现邀请贵行参与此次业务合作，并出具切实可行的业务方案。</w:t>
      </w:r>
    </w:p>
    <w:p w14:paraId="4DE7C20C">
      <w:pPr>
        <w:spacing w:line="360" w:lineRule="auto"/>
        <w:ind w:firstLine="520" w:firstLineChars="200"/>
        <w:outlineLvl w:val="1"/>
        <w:rPr>
          <w:rFonts w:hint="eastAsia" w:ascii="仿宋" w:hAnsi="仿宋" w:eastAsia="仿宋" w:cs="Times New Roman"/>
          <w:spacing w:val="-1"/>
          <w:sz w:val="26"/>
          <w:szCs w:val="26"/>
          <w:highlight w:val="none"/>
        </w:rPr>
      </w:pP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（3）比选响应单位资格要求：</w:t>
      </w:r>
      <w:r>
        <w:rPr>
          <w:rFonts w:hint="eastAsia" w:ascii="仿宋" w:hAnsi="仿宋" w:eastAsia="仿宋" w:cs="Times New Roman"/>
          <w:spacing w:val="-1"/>
          <w:sz w:val="26"/>
          <w:szCs w:val="26"/>
          <w:highlight w:val="none"/>
        </w:rPr>
        <w:t>天航局总部授信金融机构。</w:t>
      </w:r>
    </w:p>
    <w:p w14:paraId="009BDC8A">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（4）比选响应文件份数：正本1份；副本2份。</w:t>
      </w:r>
    </w:p>
    <w:p w14:paraId="5D86225D">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（5）评标方式：线下评标。</w:t>
      </w:r>
    </w:p>
    <w:p w14:paraId="052DDA47">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（6）评审地点：天航局大厦。</w:t>
      </w:r>
    </w:p>
    <w:p w14:paraId="0E6D12D7">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（6）提交比选响应文件时间：</w:t>
      </w:r>
      <w:r>
        <w:rPr>
          <w:rFonts w:ascii="仿宋" w:hAnsi="仿宋" w:eastAsia="仿宋" w:cs="Times New Roman"/>
          <w:sz w:val="26"/>
          <w:szCs w:val="26"/>
          <w:highlight w:val="none"/>
        </w:rPr>
        <w:t>202</w:t>
      </w:r>
      <w:r>
        <w:rPr>
          <w:rFonts w:hint="eastAsia" w:ascii="仿宋" w:hAnsi="仿宋" w:eastAsia="仿宋" w:cs="Times New Roman"/>
          <w:sz w:val="26"/>
          <w:szCs w:val="26"/>
          <w:highlight w:val="none"/>
        </w:rPr>
        <w:t>6年1月19日</w:t>
      </w:r>
      <w:r>
        <w:rPr>
          <w:rFonts w:hint="eastAsia" w:ascii="仿宋" w:hAnsi="仿宋" w:eastAsia="仿宋" w:cs="Times New Roman"/>
          <w:spacing w:val="-1"/>
          <w:sz w:val="26"/>
          <w:szCs w:val="26"/>
          <w:highlight w:val="none"/>
        </w:rPr>
        <w:t>前。</w:t>
      </w:r>
    </w:p>
    <w:p w14:paraId="2AD22A2D">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（7）评审时间：</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6年1月20日</w:t>
      </w:r>
      <w:r>
        <w:rPr>
          <w:rFonts w:hint="eastAsia" w:ascii="仿宋" w:hAnsi="仿宋" w:eastAsia="仿宋" w:cs="Times New Roman"/>
          <w:spacing w:val="-1"/>
          <w:sz w:val="26"/>
          <w:szCs w:val="26"/>
          <w:highlight w:val="none"/>
        </w:rPr>
        <w:t>。</w:t>
      </w:r>
    </w:p>
    <w:p w14:paraId="7C159B53">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（8）报价：由各比选单位自由报价。</w:t>
      </w:r>
    </w:p>
    <w:p w14:paraId="1601192C">
      <w:pPr>
        <w:spacing w:line="360" w:lineRule="auto"/>
        <w:ind w:firstLine="516" w:firstLineChars="2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（9）参与额度：由各比选单位自由选择，可小于等于</w:t>
      </w:r>
      <w:r>
        <w:rPr>
          <w:rFonts w:hint="eastAsia" w:ascii="仿宋" w:hAnsi="仿宋" w:eastAsia="仿宋" w:cs="Times New Roman"/>
          <w:spacing w:val="-1"/>
          <w:sz w:val="26"/>
          <w:szCs w:val="26"/>
          <w:highlight w:val="none"/>
        </w:rPr>
        <w:t>2亿元</w:t>
      </w:r>
      <w:r>
        <w:rPr>
          <w:rFonts w:hint="eastAsia" w:ascii="仿宋" w:hAnsi="仿宋" w:eastAsia="仿宋" w:cs="Times New Roman"/>
          <w:spacing w:val="-1"/>
          <w:sz w:val="26"/>
          <w:szCs w:val="26"/>
          <w:highlight w:val="none"/>
        </w:rPr>
        <w:t>。</w:t>
      </w:r>
    </w:p>
    <w:p w14:paraId="022331E2">
      <w:pPr>
        <w:spacing w:line="360" w:lineRule="auto"/>
        <w:ind w:firstLine="516" w:firstLineChars="200"/>
        <w:outlineLvl w:val="1"/>
        <w:rPr>
          <w:rFonts w:hint="eastAsia" w:ascii="仿宋" w:hAnsi="仿宋" w:eastAsia="仿宋" w:cs="Times New Roman"/>
          <w:sz w:val="26"/>
          <w:szCs w:val="26"/>
          <w:highlight w:val="none"/>
        </w:rPr>
      </w:pPr>
      <w:r>
        <w:rPr>
          <w:rFonts w:hint="eastAsia" w:ascii="仿宋" w:hAnsi="仿宋" w:eastAsia="仿宋" w:cs="Times New Roman"/>
          <w:spacing w:val="-1"/>
          <w:sz w:val="26"/>
          <w:szCs w:val="26"/>
          <w:highlight w:val="none"/>
        </w:rPr>
        <w:t xml:space="preserve">  </w:t>
      </w:r>
      <w:r>
        <w:rPr>
          <w:rFonts w:hint="eastAsia" w:ascii="仿宋" w:hAnsi="仿宋" w:eastAsia="仿宋" w:cs="Times New Roman"/>
          <w:spacing w:val="-1"/>
          <w:sz w:val="26"/>
          <w:szCs w:val="26"/>
          <w:highlight w:val="none"/>
        </w:rPr>
        <w:t>（10）如有疑问请在2026年1月14日前以书面形式提出。</w:t>
      </w:r>
    </w:p>
    <w:p w14:paraId="56EBF582">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3</w:t>
      </w:r>
      <w:r>
        <w:rPr>
          <w:rFonts w:hint="eastAsia" w:ascii="仿宋" w:hAnsi="仿宋" w:eastAsia="仿宋" w:cs="Times New Roman"/>
          <w:sz w:val="26"/>
          <w:szCs w:val="26"/>
          <w:highlight w:val="none"/>
        </w:rPr>
        <w:t>.评标标准和评标方法</w:t>
      </w:r>
    </w:p>
    <w:p w14:paraId="188271FF">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综合评价法，评标方法详见第三条。</w:t>
      </w:r>
    </w:p>
    <w:p w14:paraId="35365B76">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4</w:t>
      </w:r>
      <w:r>
        <w:rPr>
          <w:rFonts w:hint="eastAsia" w:ascii="仿宋" w:hAnsi="仿宋" w:eastAsia="仿宋" w:cs="Times New Roman"/>
          <w:sz w:val="26"/>
          <w:szCs w:val="26"/>
          <w:highlight w:val="none"/>
        </w:rPr>
        <w:t>.比选响应文件</w:t>
      </w:r>
    </w:p>
    <w:p w14:paraId="0787E76C">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（1）比选响应单位应按</w:t>
      </w:r>
      <w:r>
        <w:rPr>
          <w:rFonts w:ascii="仿宋" w:hAnsi="仿宋" w:eastAsia="仿宋" w:cs="Times New Roman"/>
          <w:sz w:val="26"/>
          <w:szCs w:val="26"/>
          <w:highlight w:val="none"/>
        </w:rPr>
        <w:t>第二章要求的</w:t>
      </w:r>
      <w:r>
        <w:rPr>
          <w:rFonts w:hint="eastAsia" w:ascii="仿宋" w:hAnsi="仿宋" w:eastAsia="仿宋" w:cs="Times New Roman"/>
          <w:sz w:val="26"/>
          <w:szCs w:val="26"/>
          <w:highlight w:val="none"/>
        </w:rPr>
        <w:t>“比选响应文件格式”</w:t>
      </w:r>
      <w:r>
        <w:rPr>
          <w:rFonts w:ascii="仿宋" w:hAnsi="仿宋" w:eastAsia="仿宋" w:cs="Times New Roman"/>
          <w:sz w:val="26"/>
          <w:szCs w:val="26"/>
          <w:highlight w:val="none"/>
        </w:rPr>
        <w:t>编写比选响应文件。</w:t>
      </w:r>
    </w:p>
    <w:p w14:paraId="4327ED87">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（2）比选响应文件应全部使用不褪色的墨水（粉〉书写或打印、逐页编码，不得有任何涂改。比选响应文件副本应由蓝本复制而成。</w:t>
      </w:r>
    </w:p>
    <w:p w14:paraId="513CB4C0">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（3）比选响应文件正本一份、副本两份。</w:t>
      </w:r>
      <w:r>
        <w:rPr>
          <w:rFonts w:hint="eastAsia" w:ascii="仿宋" w:hAnsi="仿宋" w:eastAsia="仿宋" w:cs="Times New Roman"/>
          <w:b/>
          <w:bCs/>
          <w:color w:val="FF0000"/>
          <w:sz w:val="26"/>
          <w:szCs w:val="26"/>
          <w:highlight w:val="none"/>
        </w:rPr>
        <w:t>正本和副</w:t>
      </w:r>
      <w:r>
        <w:rPr>
          <w:rFonts w:ascii="仿宋" w:hAnsi="仿宋" w:eastAsia="仿宋" w:cs="Times New Roman"/>
          <w:b/>
          <w:bCs/>
          <w:color w:val="FF0000"/>
          <w:sz w:val="26"/>
          <w:szCs w:val="26"/>
          <w:highlight w:val="none"/>
        </w:rPr>
        <w:t>本的封面上应清楚的标记“正本”和“副本”的字样。</w:t>
      </w:r>
      <w:r>
        <w:rPr>
          <w:rFonts w:ascii="仿宋" w:hAnsi="仿宋" w:eastAsia="仿宋" w:cs="Times New Roman"/>
          <w:sz w:val="26"/>
          <w:szCs w:val="26"/>
          <w:highlight w:val="none"/>
        </w:rPr>
        <w:t>正副本内容应完全一致，如不一致 时，以正本为准。</w:t>
      </w:r>
    </w:p>
    <w:p w14:paraId="408CCB23">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（4）比选响应文件的正、副本应分别</w:t>
      </w:r>
      <w:r>
        <w:rPr>
          <w:rFonts w:hint="eastAsia" w:ascii="仿宋" w:hAnsi="仿宋" w:eastAsia="仿宋" w:cs="Times New Roman"/>
          <w:b/>
          <w:bCs/>
          <w:color w:val="FF0000"/>
          <w:sz w:val="26"/>
          <w:szCs w:val="26"/>
          <w:highlight w:val="none"/>
        </w:rPr>
        <w:t>胶装成册</w:t>
      </w:r>
      <w:r>
        <w:rPr>
          <w:rFonts w:hint="eastAsia" w:ascii="仿宋" w:hAnsi="仿宋" w:eastAsia="仿宋" w:cs="Times New Roman"/>
          <w:sz w:val="26"/>
          <w:szCs w:val="26"/>
          <w:highlight w:val="none"/>
        </w:rPr>
        <w:t>，并编制目录，散页无效。</w:t>
      </w:r>
    </w:p>
    <w:p w14:paraId="68B544A0">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（5）比选响应单位应在</w:t>
      </w:r>
      <w:r>
        <w:rPr>
          <w:rFonts w:hint="eastAsia" w:ascii="仿宋" w:hAnsi="仿宋" w:eastAsia="仿宋" w:cs="Times New Roman"/>
          <w:b/>
          <w:bCs/>
          <w:color w:val="FF0000"/>
          <w:sz w:val="26"/>
          <w:szCs w:val="26"/>
          <w:highlight w:val="none"/>
        </w:rPr>
        <w:t>比选响应文件封面加盖单位公章，法定代表人应签字或加盖印鉴</w:t>
      </w:r>
      <w:r>
        <w:rPr>
          <w:rFonts w:hint="eastAsia" w:ascii="仿宋" w:hAnsi="仿宋" w:eastAsia="仿宋" w:cs="Times New Roman"/>
          <w:sz w:val="26"/>
          <w:szCs w:val="26"/>
          <w:highlight w:val="none"/>
        </w:rPr>
        <w:t>，否则比选响应文件无效。</w:t>
      </w:r>
    </w:p>
    <w:p w14:paraId="2229086D">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（6）比选响应文件的正、副本应一起包装，比选响应文件的外包装</w:t>
      </w:r>
      <w:r>
        <w:rPr>
          <w:rFonts w:ascii="仿宋" w:hAnsi="仿宋" w:eastAsia="仿宋" w:cs="Times New Roman"/>
          <w:sz w:val="26"/>
          <w:szCs w:val="26"/>
          <w:highlight w:val="none"/>
        </w:rPr>
        <w:t xml:space="preserve"> 应保证其密封性，</w:t>
      </w:r>
      <w:r>
        <w:rPr>
          <w:rFonts w:ascii="仿宋" w:hAnsi="仿宋" w:eastAsia="仿宋" w:cs="Times New Roman"/>
          <w:b/>
          <w:bCs/>
          <w:color w:val="FF0000"/>
          <w:sz w:val="26"/>
          <w:szCs w:val="26"/>
          <w:highlight w:val="none"/>
        </w:rPr>
        <w:t>在密封的骑缝处加盖比选响应单位公章</w:t>
      </w:r>
      <w:r>
        <w:rPr>
          <w:rFonts w:ascii="仿宋" w:hAnsi="仿宋" w:eastAsia="仿宋" w:cs="Times New Roman"/>
          <w:sz w:val="26"/>
          <w:szCs w:val="26"/>
          <w:highlight w:val="none"/>
        </w:rPr>
        <w:t>。</w:t>
      </w:r>
      <w:r>
        <w:rPr>
          <w:rFonts w:ascii="仿宋" w:hAnsi="仿宋" w:eastAsia="仿宋" w:cs="Times New Roman"/>
          <w:b/>
          <w:bCs/>
          <w:color w:val="FF0000"/>
          <w:sz w:val="26"/>
          <w:szCs w:val="26"/>
          <w:highlight w:val="none"/>
        </w:rPr>
        <w:t>封套上应清楚地载明项目名称、比选响应单位的名称、地址、电话及联系人</w:t>
      </w:r>
      <w:r>
        <w:rPr>
          <w:rFonts w:ascii="仿宋" w:hAnsi="仿宋" w:eastAsia="仿宋" w:cs="Times New Roman"/>
          <w:sz w:val="26"/>
          <w:szCs w:val="26"/>
          <w:highlight w:val="none"/>
        </w:rPr>
        <w:t>。</w:t>
      </w:r>
    </w:p>
    <w:p w14:paraId="702D9AE5">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（7）未按以上要求密封和加写标记的比选响应文件将不予受理。</w:t>
      </w:r>
    </w:p>
    <w:p w14:paraId="54D638D2">
      <w:pPr>
        <w:spacing w:line="360" w:lineRule="auto"/>
        <w:ind w:firstLine="780" w:firstLineChars="3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（8）比选响应文件应该在规定的比选响应文件提交截止</w:t>
      </w:r>
      <w:r>
        <w:rPr>
          <w:rFonts w:ascii="仿宋" w:hAnsi="仿宋" w:eastAsia="仿宋" w:cs="Times New Roman"/>
          <w:sz w:val="26"/>
          <w:szCs w:val="26"/>
          <w:highlight w:val="none"/>
        </w:rPr>
        <w:t>时间前提交。迟到的比选响应文件比选单位将不予接收。</w:t>
      </w:r>
    </w:p>
    <w:p w14:paraId="21B15FD3">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5</w:t>
      </w:r>
      <w:r>
        <w:rPr>
          <w:rFonts w:hint="eastAsia" w:ascii="仿宋" w:hAnsi="仿宋" w:eastAsia="仿宋" w:cs="Times New Roman"/>
          <w:sz w:val="26"/>
          <w:szCs w:val="26"/>
          <w:highlight w:val="none"/>
        </w:rPr>
        <w:t>.评审</w:t>
      </w:r>
    </w:p>
    <w:p w14:paraId="163D9C0D">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（1）本次比选设评委</w:t>
      </w:r>
      <w:r>
        <w:rPr>
          <w:rFonts w:ascii="仿宋" w:hAnsi="仿宋" w:eastAsia="仿宋" w:cs="Times New Roman"/>
          <w:sz w:val="26"/>
          <w:szCs w:val="26"/>
          <w:highlight w:val="none"/>
        </w:rPr>
        <w:t>5名，</w:t>
      </w:r>
      <w:r>
        <w:rPr>
          <w:rFonts w:hint="eastAsia" w:ascii="仿宋" w:hAnsi="仿宋" w:eastAsia="仿宋" w:cs="Times New Roman"/>
          <w:sz w:val="26"/>
          <w:szCs w:val="26"/>
          <w:highlight w:val="none"/>
        </w:rPr>
        <w:t>全部为天航局内部评委。</w:t>
      </w:r>
    </w:p>
    <w:p w14:paraId="456C8A24">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（2）由招标工作小组在评标监督部门监督下在规定地点、时间当场开封所有比选响应丈件，按</w:t>
      </w:r>
      <w:r>
        <w:rPr>
          <w:rFonts w:ascii="仿宋" w:hAnsi="仿宋" w:eastAsia="仿宋" w:cs="Times New Roman"/>
          <w:sz w:val="26"/>
          <w:szCs w:val="26"/>
          <w:highlight w:val="none"/>
        </w:rPr>
        <w:t>照以下程序进行：</w:t>
      </w:r>
    </w:p>
    <w:p w14:paraId="6993639C">
      <w:pPr>
        <w:spacing w:line="360" w:lineRule="auto"/>
        <w:ind w:firstLine="520" w:firstLineChars="2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t xml:space="preserve">   </w:t>
      </w: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1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①</w:t>
      </w:r>
      <w:r>
        <w:rPr>
          <w:rFonts w:ascii="仿宋" w:hAnsi="仿宋" w:eastAsia="仿宋" w:cs="Times New Roman"/>
          <w:sz w:val="26"/>
          <w:szCs w:val="26"/>
          <w:highlight w:val="none"/>
        </w:rPr>
        <w:fldChar w:fldCharType="end"/>
      </w:r>
      <w:r>
        <w:rPr>
          <w:rFonts w:hint="eastAsia" w:ascii="仿宋" w:hAnsi="仿宋" w:eastAsia="仿宋" w:cs="Times New Roman"/>
          <w:sz w:val="26"/>
          <w:szCs w:val="26"/>
          <w:highlight w:val="none"/>
        </w:rPr>
        <w:t>对比选文件进行符合性审查，</w:t>
      </w:r>
      <w:r>
        <w:rPr>
          <w:rFonts w:ascii="仿宋" w:hAnsi="仿宋" w:eastAsia="仿宋" w:cs="Times New Roman"/>
          <w:sz w:val="26"/>
          <w:szCs w:val="26"/>
          <w:highlight w:val="none"/>
        </w:rPr>
        <w:t xml:space="preserve"> 剔除无效比选文件</w:t>
      </w:r>
      <w:r>
        <w:rPr>
          <w:rFonts w:hint="eastAsia" w:ascii="仿宋" w:hAnsi="仿宋" w:eastAsia="仿宋" w:cs="Times New Roman"/>
          <w:sz w:val="26"/>
          <w:szCs w:val="26"/>
          <w:highlight w:val="none"/>
        </w:rPr>
        <w:t>。</w:t>
      </w:r>
    </w:p>
    <w:p w14:paraId="326C57F2">
      <w:pPr>
        <w:spacing w:line="360" w:lineRule="auto"/>
        <w:ind w:firstLine="520" w:firstLineChars="200"/>
        <w:outlineLvl w:val="1"/>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 xml:space="preserve"> </w:t>
      </w:r>
      <w:r>
        <w:rPr>
          <w:rFonts w:ascii="仿宋" w:hAnsi="仿宋" w:eastAsia="仿宋" w:cs="Times New Roman"/>
          <w:sz w:val="26"/>
          <w:szCs w:val="26"/>
          <w:highlight w:val="none"/>
        </w:rPr>
        <w:t xml:space="preserve">    </w:t>
      </w:r>
      <w:r>
        <w:rPr>
          <w:rFonts w:hint="eastAsia" w:ascii="仿宋" w:hAnsi="仿宋" w:eastAsia="仿宋" w:cs="Times New Roman"/>
          <w:sz w:val="26"/>
          <w:szCs w:val="26"/>
          <w:highlight w:val="none"/>
        </w:rPr>
        <w:t>符合下列条件之一的为无效比选文件：</w:t>
      </w:r>
    </w:p>
    <w:p w14:paraId="77ACB471">
      <w:pPr>
        <w:spacing w:line="360" w:lineRule="auto"/>
        <w:ind w:firstLine="516" w:firstLineChars="200"/>
        <w:outlineLvl w:val="1"/>
        <w:rPr>
          <w:rFonts w:hint="eastAsia" w:ascii="仿宋" w:hAnsi="仿宋" w:eastAsia="仿宋" w:cs="Times New Roman"/>
          <w:spacing w:val="-1"/>
          <w:sz w:val="26"/>
          <w:szCs w:val="26"/>
          <w:highlight w:val="none"/>
        </w:rPr>
      </w:pPr>
      <w:r>
        <w:rPr>
          <w:rFonts w:hint="eastAsia" w:ascii="仿宋" w:hAnsi="仿宋" w:eastAsia="仿宋" w:cs="Times New Roman"/>
          <w:spacing w:val="-1"/>
          <w:sz w:val="26"/>
          <w:szCs w:val="26"/>
          <w:highlight w:val="none"/>
        </w:rPr>
        <w:t xml:space="preserve"> </w:t>
      </w:r>
      <w:r>
        <w:rPr>
          <w:rFonts w:ascii="仿宋" w:hAnsi="仿宋" w:eastAsia="仿宋" w:cs="Times New Roman"/>
          <w:spacing w:val="-1"/>
          <w:sz w:val="26"/>
          <w:szCs w:val="26"/>
          <w:highlight w:val="none"/>
        </w:rPr>
        <w:t xml:space="preserve">     a.不符合</w:t>
      </w:r>
      <w:r>
        <w:rPr>
          <w:rFonts w:hint="eastAsia" w:ascii="仿宋" w:hAnsi="仿宋" w:eastAsia="仿宋" w:cs="Times New Roman"/>
          <w:spacing w:val="-1"/>
          <w:sz w:val="26"/>
          <w:szCs w:val="26"/>
          <w:highlight w:val="none"/>
        </w:rPr>
        <w:t>第合上述第（8）</w:t>
      </w:r>
      <w:r>
        <w:rPr>
          <w:rFonts w:ascii="仿宋" w:hAnsi="仿宋" w:eastAsia="仿宋" w:cs="Times New Roman"/>
          <w:spacing w:val="-1"/>
          <w:sz w:val="26"/>
          <w:szCs w:val="26"/>
          <w:highlight w:val="none"/>
        </w:rPr>
        <w:t>条，迟到的</w:t>
      </w:r>
    </w:p>
    <w:p w14:paraId="58553521">
      <w:pPr>
        <w:spacing w:line="360" w:lineRule="auto"/>
        <w:ind w:firstLine="1290" w:firstLineChars="5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b.未按</w:t>
      </w:r>
      <w:r>
        <w:rPr>
          <w:rFonts w:hint="eastAsia" w:ascii="仿宋" w:hAnsi="仿宋" w:eastAsia="仿宋" w:cs="Times New Roman"/>
          <w:spacing w:val="-1"/>
          <w:sz w:val="26"/>
          <w:szCs w:val="26"/>
          <w:highlight w:val="none"/>
        </w:rPr>
        <w:t>上述第（2）至（6）</w:t>
      </w:r>
      <w:r>
        <w:rPr>
          <w:rFonts w:ascii="仿宋" w:hAnsi="仿宋" w:eastAsia="仿宋" w:cs="Times New Roman"/>
          <w:spacing w:val="-1"/>
          <w:sz w:val="26"/>
          <w:szCs w:val="26"/>
          <w:highlight w:val="none"/>
        </w:rPr>
        <w:t>条要求密封</w:t>
      </w:r>
      <w:r>
        <w:rPr>
          <w:rFonts w:hint="eastAsia" w:ascii="仿宋" w:hAnsi="仿宋" w:eastAsia="仿宋" w:cs="Times New Roman"/>
          <w:spacing w:val="-1"/>
          <w:sz w:val="26"/>
          <w:szCs w:val="26"/>
          <w:highlight w:val="none"/>
        </w:rPr>
        <w:t>及</w:t>
      </w:r>
      <w:r>
        <w:rPr>
          <w:rFonts w:ascii="仿宋" w:hAnsi="仿宋" w:eastAsia="仿宋" w:cs="Times New Roman"/>
          <w:spacing w:val="-1"/>
          <w:sz w:val="26"/>
          <w:szCs w:val="26"/>
          <w:highlight w:val="none"/>
        </w:rPr>
        <w:t>标识</w:t>
      </w:r>
      <w:r>
        <w:rPr>
          <w:rFonts w:hint="eastAsia" w:ascii="仿宋" w:hAnsi="仿宋" w:eastAsia="仿宋" w:cs="Times New Roman"/>
          <w:spacing w:val="-1"/>
          <w:sz w:val="26"/>
          <w:szCs w:val="26"/>
          <w:highlight w:val="none"/>
        </w:rPr>
        <w:t>和盖章或签字的</w:t>
      </w:r>
    </w:p>
    <w:p w14:paraId="1231F5DA">
      <w:pPr>
        <w:spacing w:line="360" w:lineRule="auto"/>
        <w:ind w:firstLine="1290" w:firstLineChars="500"/>
        <w:outlineLvl w:val="1"/>
        <w:rPr>
          <w:rFonts w:hint="eastAsia" w:ascii="仿宋" w:hAnsi="仿宋" w:eastAsia="仿宋" w:cs="Times New Roman"/>
          <w:spacing w:val="-1"/>
          <w:sz w:val="26"/>
          <w:szCs w:val="26"/>
          <w:highlight w:val="none"/>
        </w:rPr>
      </w:pPr>
      <w:r>
        <w:rPr>
          <w:rFonts w:ascii="仿宋" w:hAnsi="仿宋" w:eastAsia="仿宋" w:cs="Times New Roman"/>
          <w:spacing w:val="-1"/>
          <w:sz w:val="26"/>
          <w:szCs w:val="26"/>
          <w:highlight w:val="none"/>
        </w:rPr>
        <w:t>c.发现在比选过程中有弄虚作假情形的</w:t>
      </w:r>
    </w:p>
    <w:p w14:paraId="425424ED">
      <w:pPr>
        <w:spacing w:line="360" w:lineRule="auto"/>
        <w:ind w:firstLine="780" w:firstLineChars="3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2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②</w:t>
      </w:r>
      <w:r>
        <w:rPr>
          <w:rFonts w:ascii="仿宋" w:hAnsi="仿宋" w:eastAsia="仿宋" w:cs="Times New Roman"/>
          <w:sz w:val="26"/>
          <w:szCs w:val="26"/>
          <w:highlight w:val="none"/>
        </w:rPr>
        <w:fldChar w:fldCharType="end"/>
      </w:r>
      <w:r>
        <w:rPr>
          <w:rFonts w:ascii="仿宋" w:hAnsi="仿宋" w:eastAsia="仿宋" w:cs="Times New Roman"/>
          <w:sz w:val="26"/>
          <w:szCs w:val="26"/>
          <w:highlight w:val="none"/>
        </w:rPr>
        <w:t>由评审委员会按照评审办法计算比选响应文件的得分。</w:t>
      </w:r>
    </w:p>
    <w:p w14:paraId="22F50658">
      <w:pPr>
        <w:spacing w:line="360" w:lineRule="auto"/>
        <w:ind w:firstLine="780" w:firstLineChars="300"/>
        <w:outlineLvl w:val="1"/>
        <w:rPr>
          <w:rFonts w:hint="eastAsia" w:ascii="仿宋" w:hAnsi="仿宋" w:eastAsia="仿宋" w:cs="Times New Roman"/>
          <w:sz w:val="26"/>
          <w:szCs w:val="26"/>
          <w:highlight w:val="none"/>
        </w:rPr>
      </w:pPr>
      <w:r>
        <w:rPr>
          <w:rFonts w:ascii="仿宋" w:hAnsi="仿宋" w:eastAsia="仿宋" w:cs="Times New Roman"/>
          <w:sz w:val="26"/>
          <w:szCs w:val="26"/>
          <w:highlight w:val="none"/>
        </w:rPr>
        <w:fldChar w:fldCharType="begin"/>
      </w:r>
      <w:r>
        <w:rPr>
          <w:rFonts w:ascii="仿宋" w:hAnsi="仿宋" w:eastAsia="仿宋" w:cs="Times New Roman"/>
          <w:sz w:val="26"/>
          <w:szCs w:val="26"/>
          <w:highlight w:val="none"/>
        </w:rPr>
        <w:instrText xml:space="preserve"> </w:instrText>
      </w:r>
      <w:r>
        <w:rPr>
          <w:rFonts w:hint="eastAsia" w:ascii="仿宋" w:hAnsi="仿宋" w:eastAsia="仿宋" w:cs="Times New Roman"/>
          <w:sz w:val="26"/>
          <w:szCs w:val="26"/>
          <w:highlight w:val="none"/>
        </w:rPr>
        <w:instrText xml:space="preserve">= 3 \* GB3</w:instrText>
      </w:r>
      <w:r>
        <w:rPr>
          <w:rFonts w:ascii="仿宋" w:hAnsi="仿宋" w:eastAsia="仿宋" w:cs="Times New Roman"/>
          <w:sz w:val="26"/>
          <w:szCs w:val="26"/>
          <w:highlight w:val="none"/>
        </w:rPr>
        <w:instrText xml:space="preserve"> </w:instrText>
      </w:r>
      <w:r>
        <w:rPr>
          <w:rFonts w:ascii="仿宋" w:hAnsi="仿宋" w:eastAsia="仿宋" w:cs="Times New Roman"/>
          <w:sz w:val="26"/>
          <w:szCs w:val="26"/>
          <w:highlight w:val="none"/>
        </w:rPr>
        <w:fldChar w:fldCharType="separate"/>
      </w:r>
      <w:r>
        <w:rPr>
          <w:rFonts w:hint="eastAsia" w:ascii="仿宋" w:hAnsi="仿宋" w:eastAsia="仿宋" w:cs="Times New Roman"/>
          <w:sz w:val="26"/>
          <w:szCs w:val="26"/>
          <w:highlight w:val="none"/>
        </w:rPr>
        <w:t>③</w:t>
      </w:r>
      <w:r>
        <w:rPr>
          <w:rFonts w:ascii="仿宋" w:hAnsi="仿宋" w:eastAsia="仿宋" w:cs="Times New Roman"/>
          <w:sz w:val="26"/>
          <w:szCs w:val="26"/>
          <w:highlight w:val="none"/>
        </w:rPr>
        <w:fldChar w:fldCharType="end"/>
      </w:r>
      <w:r>
        <w:rPr>
          <w:rFonts w:hint="eastAsia" w:ascii="仿宋" w:hAnsi="仿宋" w:eastAsia="仿宋" w:cs="Times New Roman"/>
          <w:sz w:val="26"/>
          <w:szCs w:val="26"/>
          <w:highlight w:val="none"/>
        </w:rPr>
        <w:t>汇总各评委打分表，将各评委打分取算数平均值作为各比选响应单位的最终得分。</w:t>
      </w:r>
      <w:r>
        <w:rPr>
          <w:rFonts w:ascii="仿宋" w:hAnsi="仿宋" w:eastAsia="仿宋" w:cs="Times New Roman"/>
          <w:sz w:val="26"/>
          <w:szCs w:val="26"/>
          <w:highlight w:val="none"/>
        </w:rPr>
        <w:t xml:space="preserve"> 按照得分由高</w:t>
      </w:r>
      <w:r>
        <w:rPr>
          <w:rFonts w:hint="eastAsia" w:ascii="仿宋" w:hAnsi="仿宋" w:eastAsia="仿宋" w:cs="Times New Roman"/>
          <w:sz w:val="26"/>
          <w:szCs w:val="26"/>
          <w:highlight w:val="none"/>
        </w:rPr>
        <w:t>到低</w:t>
      </w:r>
      <w:r>
        <w:rPr>
          <w:rFonts w:ascii="仿宋" w:hAnsi="仿宋" w:eastAsia="仿宋" w:cs="Times New Roman"/>
          <w:sz w:val="26"/>
          <w:szCs w:val="26"/>
          <w:highlight w:val="none"/>
        </w:rPr>
        <w:t>排序确定中选银行。</w:t>
      </w:r>
    </w:p>
    <w:p w14:paraId="7CF3C087">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二、比选响应文件编制要求</w:t>
      </w:r>
    </w:p>
    <w:p w14:paraId="13185EA9">
      <w:pPr>
        <w:adjustRightInd w:val="0"/>
        <w:spacing w:line="360" w:lineRule="auto"/>
        <w:ind w:firstLine="520"/>
        <w:outlineLvl w:val="0"/>
        <w:rPr>
          <w:rFonts w:hint="eastAsia" w:ascii="仿宋" w:hAnsi="仿宋" w:eastAsia="仿宋" w:cs="Times New Roman"/>
          <w:sz w:val="26"/>
          <w:szCs w:val="26"/>
          <w:highlight w:val="none"/>
        </w:rPr>
      </w:pPr>
      <w:r>
        <w:rPr>
          <w:rFonts w:ascii="仿宋" w:hAnsi="仿宋" w:eastAsia="仿宋" w:cs="Times New Roman"/>
          <w:sz w:val="26"/>
          <w:szCs w:val="26"/>
          <w:highlight w:val="none"/>
        </w:rPr>
        <w:t>1</w:t>
      </w:r>
      <w:r>
        <w:rPr>
          <w:rFonts w:hint="eastAsia" w:ascii="仿宋" w:hAnsi="仿宋" w:eastAsia="仿宋" w:cs="Times New Roman"/>
          <w:sz w:val="26"/>
          <w:szCs w:val="26"/>
          <w:highlight w:val="none"/>
        </w:rPr>
        <w:t>．比选响应单位在编制比选响应文件时必须使用本章节所附格式并符合有关要求；本章节未规定格式的，由比选响应单位根据实际情况自主编制。</w:t>
      </w:r>
    </w:p>
    <w:p w14:paraId="0084CE6D">
      <w:pPr>
        <w:adjustRightInd w:val="0"/>
        <w:spacing w:line="360" w:lineRule="auto"/>
        <w:ind w:firstLine="520"/>
        <w:outlineLvl w:val="0"/>
        <w:rPr>
          <w:rFonts w:hint="eastAsia" w:ascii="仿宋" w:hAnsi="仿宋" w:eastAsia="仿宋" w:cs="Times New Roman"/>
          <w:sz w:val="26"/>
          <w:szCs w:val="26"/>
          <w:highlight w:val="none"/>
        </w:rPr>
      </w:pPr>
      <w:r>
        <w:rPr>
          <w:rFonts w:ascii="仿宋" w:hAnsi="仿宋" w:eastAsia="仿宋" w:cs="Times New Roman"/>
          <w:sz w:val="26"/>
          <w:szCs w:val="26"/>
          <w:highlight w:val="none"/>
        </w:rPr>
        <w:t>2.</w:t>
      </w:r>
      <w:r>
        <w:rPr>
          <w:rFonts w:hint="eastAsia"/>
          <w:highlight w:val="none"/>
        </w:rPr>
        <w:t xml:space="preserve"> </w:t>
      </w:r>
      <w:r>
        <w:rPr>
          <w:rFonts w:hint="eastAsia" w:ascii="仿宋" w:hAnsi="仿宋" w:eastAsia="仿宋" w:cs="Times New Roman"/>
          <w:sz w:val="26"/>
          <w:szCs w:val="26"/>
          <w:highlight w:val="none"/>
        </w:rPr>
        <w:t>比选响应单位应按本章节所附格式的先后顺序编制比选响应文件。</w:t>
      </w:r>
    </w:p>
    <w:p w14:paraId="5773518F">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w:t>
      </w:r>
      <w:r>
        <w:rPr>
          <w:rFonts w:ascii="仿宋" w:hAnsi="仿宋" w:eastAsia="仿宋" w:cs="Times New Roman"/>
          <w:sz w:val="26"/>
          <w:szCs w:val="26"/>
          <w:highlight w:val="none"/>
        </w:rPr>
        <w:t>.</w:t>
      </w:r>
      <w:r>
        <w:rPr>
          <w:rFonts w:hint="eastAsia"/>
          <w:highlight w:val="none"/>
        </w:rPr>
        <w:t xml:space="preserve"> </w:t>
      </w:r>
      <w:r>
        <w:rPr>
          <w:rFonts w:hint="eastAsia" w:ascii="仿宋" w:hAnsi="仿宋" w:eastAsia="仿宋" w:cs="Times New Roman"/>
          <w:sz w:val="26"/>
          <w:szCs w:val="26"/>
          <w:highlight w:val="none"/>
        </w:rPr>
        <w:t>比选响应文件应在比选响应文件封面和《法定代表人授权书》中的</w:t>
      </w:r>
      <w:r>
        <w:rPr>
          <w:rFonts w:ascii="仿宋" w:hAnsi="仿宋" w:eastAsia="仿宋" w:cs="Times New Roman"/>
          <w:sz w:val="26"/>
          <w:szCs w:val="26"/>
          <w:highlight w:val="none"/>
        </w:rPr>
        <w:t xml:space="preserve"> “比选响应单位”一栏填上比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响应单位的全称并在名称上加盖比选响应 单位公章。</w:t>
      </w:r>
    </w:p>
    <w:p w14:paraId="14664D9F">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w:t>
      </w:r>
      <w:r>
        <w:rPr>
          <w:rFonts w:ascii="仿宋" w:hAnsi="仿宋" w:eastAsia="仿宋" w:cs="Times New Roman"/>
          <w:sz w:val="26"/>
          <w:szCs w:val="26"/>
          <w:highlight w:val="none"/>
        </w:rPr>
        <w:t>.</w:t>
      </w:r>
      <w:r>
        <w:rPr>
          <w:rFonts w:hint="eastAsia"/>
          <w:highlight w:val="none"/>
        </w:rPr>
        <w:t xml:space="preserve"> </w:t>
      </w:r>
      <w:r>
        <w:rPr>
          <w:rFonts w:hint="eastAsia" w:ascii="仿宋" w:hAnsi="仿宋" w:eastAsia="仿宋" w:cs="Times New Roman"/>
          <w:sz w:val="26"/>
          <w:szCs w:val="26"/>
          <w:highlight w:val="none"/>
        </w:rPr>
        <w:t>比选响应文件中的表格如填写不下，可编辑扩展或另附页。</w:t>
      </w:r>
      <w:r>
        <w:rPr>
          <w:rFonts w:ascii="仿宋" w:hAnsi="仿宋" w:eastAsia="仿宋" w:cs="Times New Roman"/>
          <w:sz w:val="26"/>
          <w:szCs w:val="26"/>
          <w:highlight w:val="none"/>
        </w:rPr>
        <w:t xml:space="preserve"> 除形式外，比选响应单位不得改变其内容要求。本章</w:t>
      </w:r>
      <w:r>
        <w:rPr>
          <w:rFonts w:hint="eastAsia" w:ascii="仿宋" w:hAnsi="仿宋" w:eastAsia="仿宋" w:cs="Times New Roman"/>
          <w:sz w:val="26"/>
          <w:szCs w:val="26"/>
          <w:highlight w:val="none"/>
        </w:rPr>
        <w:t>节</w:t>
      </w:r>
      <w:r>
        <w:rPr>
          <w:rFonts w:ascii="仿宋" w:hAnsi="仿宋" w:eastAsia="仿宋" w:cs="Times New Roman"/>
          <w:sz w:val="26"/>
          <w:szCs w:val="26"/>
          <w:highlight w:val="none"/>
        </w:rPr>
        <w:t>所附格式，比选响应单位为编制比选响应文件可以进行复印或编辑。</w:t>
      </w:r>
    </w:p>
    <w:p w14:paraId="6BBDFEF8">
      <w:pPr>
        <w:adjustRightInd w:val="0"/>
        <w:spacing w:line="360" w:lineRule="auto"/>
        <w:ind w:firstLine="520"/>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w:t>
      </w:r>
      <w:r>
        <w:rPr>
          <w:rFonts w:ascii="仿宋" w:hAnsi="仿宋" w:eastAsia="仿宋" w:cs="Times New Roman"/>
          <w:sz w:val="26"/>
          <w:szCs w:val="26"/>
          <w:highlight w:val="none"/>
        </w:rPr>
        <w:t>.</w:t>
      </w:r>
      <w:r>
        <w:rPr>
          <w:rFonts w:hint="eastAsia"/>
          <w:highlight w:val="none"/>
        </w:rPr>
        <w:t xml:space="preserve"> </w:t>
      </w:r>
      <w:r>
        <w:rPr>
          <w:rFonts w:hint="eastAsia" w:ascii="仿宋" w:hAnsi="仿宋" w:eastAsia="仿宋" w:cs="Times New Roman"/>
          <w:sz w:val="26"/>
          <w:szCs w:val="26"/>
          <w:highlight w:val="none"/>
        </w:rPr>
        <w:t>比选响应文件密封后按规定的时间和地点提交。</w:t>
      </w:r>
    </w:p>
    <w:p w14:paraId="66695FD6">
      <w:pPr>
        <w:rPr>
          <w:rFonts w:hint="eastAsia" w:ascii="仿宋" w:hAnsi="仿宋" w:eastAsia="仿宋" w:cs="Times New Roman"/>
          <w:sz w:val="26"/>
          <w:szCs w:val="26"/>
          <w:highlight w:val="none"/>
        </w:rPr>
      </w:pPr>
    </w:p>
    <w:p w14:paraId="3D207A2D">
      <w:pPr>
        <w:rPr>
          <w:rFonts w:hint="eastAsia" w:ascii="仿宋" w:hAnsi="仿宋" w:eastAsia="仿宋" w:cs="Times New Roman"/>
          <w:sz w:val="26"/>
          <w:szCs w:val="26"/>
          <w:highlight w:val="none"/>
        </w:rPr>
      </w:pPr>
    </w:p>
    <w:p w14:paraId="58B000F8">
      <w:pPr>
        <w:rPr>
          <w:rFonts w:hint="eastAsia" w:ascii="仿宋" w:hAnsi="仿宋" w:eastAsia="仿宋" w:cs="Times New Roman"/>
          <w:sz w:val="26"/>
          <w:szCs w:val="26"/>
          <w:highlight w:val="none"/>
        </w:rPr>
      </w:pPr>
    </w:p>
    <w:p w14:paraId="048CC002">
      <w:pPr>
        <w:rPr>
          <w:rFonts w:hint="eastAsia" w:ascii="仿宋" w:hAnsi="仿宋" w:eastAsia="仿宋" w:cs="Times New Roman"/>
          <w:sz w:val="26"/>
          <w:szCs w:val="26"/>
          <w:highlight w:val="none"/>
        </w:rPr>
      </w:pPr>
    </w:p>
    <w:p w14:paraId="051E3850">
      <w:pPr>
        <w:rPr>
          <w:rFonts w:hint="eastAsia" w:ascii="仿宋" w:hAnsi="仿宋" w:eastAsia="仿宋" w:cs="Times New Roman"/>
          <w:sz w:val="26"/>
          <w:szCs w:val="26"/>
          <w:highlight w:val="none"/>
        </w:rPr>
      </w:pPr>
      <w:r>
        <w:rPr>
          <w:rFonts w:ascii="仿宋" w:hAnsi="仿宋" w:eastAsia="仿宋" w:cs="Times New Roman"/>
          <w:sz w:val="26"/>
          <w:szCs w:val="26"/>
          <w:highlight w:val="none"/>
        </w:rPr>
        <w:t>1、比选响应文件封面</w:t>
      </w:r>
    </w:p>
    <w:p w14:paraId="45E9B478">
      <w:pPr>
        <w:rPr>
          <w:rFonts w:hint="eastAsia"/>
          <w:highlight w:val="none"/>
        </w:rPr>
      </w:pPr>
    </w:p>
    <w:p w14:paraId="741DDEEE">
      <w:pPr>
        <w:rPr>
          <w:rFonts w:hint="eastAsia" w:ascii="仿宋" w:hAnsi="仿宋" w:eastAsia="仿宋" w:cs="Times New Roman"/>
          <w:sz w:val="26"/>
          <w:szCs w:val="26"/>
          <w:highlight w:val="none"/>
        </w:rPr>
      </w:pPr>
      <w:r>
        <w:rPr>
          <w:rFonts w:hint="eastAsia"/>
          <w:highlight w:val="none"/>
        </w:rPr>
        <w:t xml:space="preserve"> </w:t>
      </w:r>
      <w:r>
        <w:rPr>
          <w:highlight w:val="none"/>
        </w:rPr>
        <w:t xml:space="preserve">                                                             </w:t>
      </w:r>
      <w:r>
        <w:rPr>
          <w:rFonts w:hint="eastAsia" w:ascii="仿宋" w:hAnsi="仿宋" w:eastAsia="仿宋" w:cs="Times New Roman"/>
          <w:sz w:val="26"/>
          <w:szCs w:val="26"/>
          <w:highlight w:val="none"/>
        </w:rPr>
        <w:t>正本（或副本）</w:t>
      </w:r>
    </w:p>
    <w:p w14:paraId="1467CDA3">
      <w:pPr>
        <w:rPr>
          <w:rFonts w:hint="eastAsia" w:ascii="仿宋" w:hAnsi="仿宋" w:eastAsia="仿宋" w:cs="Times New Roman"/>
          <w:sz w:val="26"/>
          <w:szCs w:val="26"/>
          <w:highlight w:val="none"/>
        </w:rPr>
      </w:pPr>
    </w:p>
    <w:p w14:paraId="13DB5CE2">
      <w:pPr>
        <w:rPr>
          <w:rFonts w:hint="eastAsia"/>
          <w:highlight w:val="none"/>
        </w:rPr>
      </w:pPr>
    </w:p>
    <w:p w14:paraId="13E5DAFE">
      <w:pPr>
        <w:jc w:val="center"/>
        <w:rPr>
          <w:rFonts w:hint="eastAsia" w:ascii="仿宋" w:hAnsi="仿宋" w:eastAsia="仿宋" w:cs="Times New Roman"/>
          <w:sz w:val="48"/>
          <w:szCs w:val="48"/>
          <w:highlight w:val="none"/>
        </w:rPr>
      </w:pPr>
      <w:r>
        <w:rPr>
          <w:rFonts w:hint="eastAsia" w:ascii="仿宋" w:hAnsi="仿宋" w:eastAsia="仿宋" w:cs="Times New Roman"/>
          <w:sz w:val="48"/>
          <w:szCs w:val="48"/>
          <w:highlight w:val="none"/>
        </w:rPr>
        <w:t>天航局总部</w:t>
      </w:r>
      <w:r>
        <w:rPr>
          <w:rFonts w:hint="eastAsia" w:ascii="仿宋" w:hAnsi="仿宋" w:eastAsia="仿宋" w:cs="Times New Roman"/>
          <w:sz w:val="48"/>
          <w:szCs w:val="48"/>
          <w:highlight w:val="none"/>
        </w:rPr>
        <w:t>2</w:t>
      </w:r>
      <w:r>
        <w:rPr>
          <w:rFonts w:ascii="仿宋" w:hAnsi="仿宋" w:eastAsia="仿宋" w:cs="Times New Roman"/>
          <w:sz w:val="48"/>
          <w:szCs w:val="48"/>
          <w:highlight w:val="none"/>
        </w:rPr>
        <w:t>亿</w:t>
      </w:r>
      <w:r>
        <w:rPr>
          <w:rFonts w:ascii="仿宋" w:hAnsi="仿宋" w:eastAsia="仿宋" w:cs="Times New Roman"/>
          <w:sz w:val="48"/>
          <w:szCs w:val="48"/>
          <w:highlight w:val="none"/>
        </w:rPr>
        <w:t>贷款</w:t>
      </w:r>
      <w:r>
        <w:rPr>
          <w:rFonts w:hint="eastAsia" w:ascii="仿宋" w:hAnsi="仿宋" w:eastAsia="仿宋" w:cs="Times New Roman"/>
          <w:sz w:val="48"/>
          <w:szCs w:val="48"/>
          <w:highlight w:val="none"/>
        </w:rPr>
        <w:t>业务</w:t>
      </w:r>
    </w:p>
    <w:p w14:paraId="54CA9234">
      <w:pPr>
        <w:jc w:val="center"/>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（20260108-01 1年期2亿）</w:t>
      </w:r>
    </w:p>
    <w:p w14:paraId="1D675EE7">
      <w:pPr>
        <w:rPr>
          <w:rFonts w:hint="eastAsia" w:ascii="仿宋" w:hAnsi="仿宋" w:eastAsia="仿宋" w:cs="Times New Roman"/>
          <w:sz w:val="26"/>
          <w:szCs w:val="26"/>
          <w:highlight w:val="none"/>
        </w:rPr>
      </w:pPr>
    </w:p>
    <w:p w14:paraId="0E5EFBA3">
      <w:pPr>
        <w:rPr>
          <w:rFonts w:hint="eastAsia" w:ascii="仿宋" w:hAnsi="仿宋" w:eastAsia="仿宋" w:cs="Times New Roman"/>
          <w:sz w:val="26"/>
          <w:szCs w:val="26"/>
          <w:highlight w:val="none"/>
        </w:rPr>
      </w:pPr>
    </w:p>
    <w:p w14:paraId="2762C9AE">
      <w:pPr>
        <w:rPr>
          <w:rFonts w:hint="eastAsia" w:ascii="仿宋" w:hAnsi="仿宋" w:eastAsia="仿宋" w:cs="Times New Roman"/>
          <w:sz w:val="26"/>
          <w:szCs w:val="26"/>
          <w:highlight w:val="none"/>
        </w:rPr>
      </w:pPr>
    </w:p>
    <w:p w14:paraId="531EB100">
      <w:pPr>
        <w:jc w:val="center"/>
        <w:rPr>
          <w:rFonts w:hint="eastAsia" w:ascii="仿宋" w:hAnsi="仿宋" w:eastAsia="仿宋" w:cs="Times New Roman"/>
          <w:sz w:val="48"/>
          <w:szCs w:val="48"/>
          <w:highlight w:val="none"/>
        </w:rPr>
      </w:pPr>
    </w:p>
    <w:p w14:paraId="10D73417">
      <w:pPr>
        <w:jc w:val="center"/>
        <w:rPr>
          <w:rFonts w:hint="eastAsia" w:ascii="仿宋" w:hAnsi="仿宋" w:eastAsia="仿宋" w:cs="Times New Roman"/>
          <w:sz w:val="72"/>
          <w:szCs w:val="72"/>
          <w:highlight w:val="none"/>
        </w:rPr>
      </w:pPr>
      <w:r>
        <w:rPr>
          <w:rFonts w:hint="eastAsia" w:ascii="仿宋" w:hAnsi="仿宋" w:eastAsia="仿宋" w:cs="Times New Roman"/>
          <w:sz w:val="72"/>
          <w:szCs w:val="72"/>
          <w:highlight w:val="none"/>
        </w:rPr>
        <w:t>比选响应文件</w:t>
      </w:r>
    </w:p>
    <w:p w14:paraId="068C34B9">
      <w:pPr>
        <w:rPr>
          <w:rFonts w:hint="eastAsia" w:ascii="仿宋" w:hAnsi="仿宋" w:eastAsia="仿宋" w:cs="Times New Roman"/>
          <w:sz w:val="26"/>
          <w:szCs w:val="26"/>
          <w:highlight w:val="none"/>
        </w:rPr>
      </w:pPr>
    </w:p>
    <w:p w14:paraId="6BAA777E">
      <w:pPr>
        <w:rPr>
          <w:rFonts w:hint="eastAsia" w:ascii="仿宋" w:hAnsi="仿宋" w:eastAsia="仿宋" w:cs="Times New Roman"/>
          <w:sz w:val="26"/>
          <w:szCs w:val="26"/>
          <w:highlight w:val="none"/>
        </w:rPr>
      </w:pPr>
    </w:p>
    <w:p w14:paraId="5C249D0C">
      <w:pPr>
        <w:rPr>
          <w:rFonts w:hint="eastAsia" w:ascii="仿宋" w:hAnsi="仿宋" w:eastAsia="仿宋" w:cs="Times New Roman"/>
          <w:sz w:val="26"/>
          <w:szCs w:val="26"/>
          <w:highlight w:val="none"/>
        </w:rPr>
      </w:pPr>
    </w:p>
    <w:p w14:paraId="03A4933A">
      <w:pPr>
        <w:rPr>
          <w:rFonts w:hint="eastAsia" w:ascii="仿宋" w:hAnsi="仿宋" w:eastAsia="仿宋" w:cs="Times New Roman"/>
          <w:sz w:val="26"/>
          <w:szCs w:val="26"/>
          <w:highlight w:val="none"/>
        </w:rPr>
      </w:pPr>
    </w:p>
    <w:p w14:paraId="26BFFF94">
      <w:pPr>
        <w:rPr>
          <w:rFonts w:hint="eastAsia" w:ascii="仿宋" w:hAnsi="仿宋" w:eastAsia="仿宋" w:cs="Times New Roman"/>
          <w:sz w:val="26"/>
          <w:szCs w:val="26"/>
          <w:highlight w:val="none"/>
        </w:rPr>
      </w:pPr>
    </w:p>
    <w:p w14:paraId="49F61B55">
      <w:pPr>
        <w:ind w:left="420" w:leftChars="200" w:firstLine="1040" w:firstLineChars="4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比选响应单位：（全称称并加羔公童）</w:t>
      </w:r>
    </w:p>
    <w:p w14:paraId="42154C5F">
      <w:pPr>
        <w:ind w:firstLine="1560" w:firstLineChars="600"/>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31610334">
      <w:pPr>
        <w:ind w:left="420" w:leftChars="200" w:firstLine="1040" w:firstLineChars="4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6年1月X日</w:t>
      </w:r>
    </w:p>
    <w:p w14:paraId="24263DD0">
      <w:pPr>
        <w:widowControl/>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br w:type="page"/>
      </w:r>
    </w:p>
    <w:p w14:paraId="211B0BC9">
      <w:pPr>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w:t>
      </w:r>
      <w:r>
        <w:rPr>
          <w:rFonts w:ascii="仿宋" w:hAnsi="仿宋" w:eastAsia="仿宋" w:cs="Times New Roman"/>
          <w:sz w:val="26"/>
          <w:szCs w:val="26"/>
          <w:highlight w:val="none"/>
        </w:rPr>
        <w:t>.</w:t>
      </w:r>
      <w:r>
        <w:rPr>
          <w:rFonts w:hint="eastAsia" w:ascii="仿宋" w:hAnsi="仿宋" w:eastAsia="仿宋" w:cs="Times New Roman"/>
          <w:sz w:val="26"/>
          <w:szCs w:val="26"/>
          <w:highlight w:val="none"/>
        </w:rPr>
        <w:t>贷款利率报价单格式</w:t>
      </w:r>
    </w:p>
    <w:p w14:paraId="1509E283">
      <w:pPr>
        <w:jc w:val="center"/>
        <w:rPr>
          <w:rFonts w:hint="eastAsia" w:ascii="仿宋" w:hAnsi="仿宋" w:eastAsia="仿宋" w:cs="Times New Roman"/>
          <w:sz w:val="48"/>
          <w:szCs w:val="48"/>
          <w:highlight w:val="none"/>
        </w:rPr>
      </w:pPr>
    </w:p>
    <w:p w14:paraId="0EDEF5BD">
      <w:pPr>
        <w:jc w:val="center"/>
        <w:rPr>
          <w:rFonts w:hint="eastAsia" w:ascii="仿宋" w:hAnsi="仿宋" w:eastAsia="仿宋" w:cs="Times New Roman"/>
          <w:sz w:val="48"/>
          <w:szCs w:val="48"/>
          <w:highlight w:val="none"/>
        </w:rPr>
      </w:pPr>
      <w:bookmarkStart w:id="0" w:name="_Hlk155365802"/>
      <w:r>
        <w:rPr>
          <w:rFonts w:hint="eastAsia" w:ascii="仿宋" w:hAnsi="仿宋" w:eastAsia="仿宋" w:cs="Times New Roman"/>
          <w:sz w:val="48"/>
          <w:szCs w:val="48"/>
          <w:highlight w:val="none"/>
        </w:rPr>
        <w:t>天航局总部</w:t>
      </w:r>
      <w:r>
        <w:rPr>
          <w:rFonts w:hint="eastAsia" w:ascii="仿宋" w:hAnsi="仿宋" w:eastAsia="仿宋" w:cs="Times New Roman"/>
          <w:sz w:val="48"/>
          <w:szCs w:val="48"/>
          <w:highlight w:val="none"/>
        </w:rPr>
        <w:t>2</w:t>
      </w:r>
      <w:r>
        <w:rPr>
          <w:rFonts w:ascii="仿宋" w:hAnsi="仿宋" w:eastAsia="仿宋" w:cs="Times New Roman"/>
          <w:sz w:val="48"/>
          <w:szCs w:val="48"/>
          <w:highlight w:val="none"/>
        </w:rPr>
        <w:t>亿</w:t>
      </w:r>
      <w:r>
        <w:rPr>
          <w:rFonts w:ascii="仿宋" w:hAnsi="仿宋" w:eastAsia="仿宋" w:cs="Times New Roman"/>
          <w:sz w:val="48"/>
          <w:szCs w:val="48"/>
          <w:highlight w:val="none"/>
        </w:rPr>
        <w:t>贷款</w:t>
      </w:r>
      <w:r>
        <w:rPr>
          <w:rFonts w:hint="eastAsia" w:ascii="仿宋" w:hAnsi="仿宋" w:eastAsia="仿宋" w:cs="Times New Roman"/>
          <w:sz w:val="48"/>
          <w:szCs w:val="48"/>
          <w:highlight w:val="none"/>
        </w:rPr>
        <w:t>业务</w:t>
      </w:r>
    </w:p>
    <w:bookmarkEnd w:id="0"/>
    <w:p w14:paraId="04FD5F80">
      <w:pPr>
        <w:jc w:val="center"/>
        <w:rPr>
          <w:rFonts w:hint="eastAsia" w:ascii="仿宋" w:hAnsi="仿宋" w:eastAsia="仿宋" w:cs="Times New Roman"/>
          <w:sz w:val="48"/>
          <w:szCs w:val="48"/>
          <w:highlight w:val="none"/>
        </w:rPr>
      </w:pPr>
      <w:r>
        <w:rPr>
          <w:rFonts w:hint="eastAsia" w:ascii="仿宋" w:hAnsi="仿宋" w:eastAsia="仿宋" w:cs="Times New Roman"/>
          <w:sz w:val="48"/>
          <w:szCs w:val="48"/>
          <w:highlight w:val="none"/>
        </w:rPr>
        <w:t>贷款利率标准</w:t>
      </w:r>
    </w:p>
    <w:p w14:paraId="219E9316">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致：中交天津航道局有限公司</w:t>
      </w:r>
    </w:p>
    <w:p w14:paraId="70D82623">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我行仔细研究了比选文件的内容，愿按以下产品报价及投放金额服务天航局总部</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亿</w:t>
      </w:r>
      <w:r>
        <w:rPr>
          <w:rFonts w:ascii="仿宋" w:hAnsi="仿宋" w:eastAsia="仿宋" w:cs="Times New Roman"/>
          <w:sz w:val="26"/>
          <w:szCs w:val="26"/>
          <w:highlight w:val="none"/>
        </w:rPr>
        <w:t>贷款</w:t>
      </w:r>
      <w:r>
        <w:rPr>
          <w:rFonts w:hint="eastAsia" w:ascii="仿宋" w:hAnsi="仿宋" w:eastAsia="仿宋" w:cs="Times New Roman"/>
          <w:sz w:val="26"/>
          <w:szCs w:val="26"/>
          <w:highlight w:val="none"/>
        </w:rPr>
        <w:t>业务项目。</w:t>
      </w:r>
    </w:p>
    <w:p w14:paraId="61E492E3">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我行承诺，按以下利率标准进行计息。</w:t>
      </w:r>
      <w:r>
        <w:rPr>
          <w:rFonts w:ascii="仿宋" w:hAnsi="仿宋" w:eastAsia="仿宋" w:cs="Times New Roman"/>
          <w:sz w:val="26"/>
          <w:szCs w:val="26"/>
          <w:highlight w:val="none"/>
        </w:rPr>
        <w:t xml:space="preserve"> </w:t>
      </w:r>
    </w:p>
    <w:p w14:paraId="236FA418">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一、</w:t>
      </w:r>
      <w:r>
        <w:rPr>
          <w:rFonts w:hint="eastAsia" w:ascii="仿宋" w:hAnsi="仿宋" w:eastAsia="仿宋" w:cs="Times New Roman"/>
          <w:sz w:val="26"/>
          <w:szCs w:val="26"/>
          <w:highlight w:val="none"/>
        </w:rPr>
        <w:t>1年</w:t>
      </w:r>
      <w:r>
        <w:rPr>
          <w:rFonts w:hint="eastAsia" w:ascii="仿宋" w:hAnsi="仿宋" w:eastAsia="仿宋" w:cs="Times New Roman"/>
          <w:sz w:val="26"/>
          <w:szCs w:val="26"/>
          <w:highlight w:val="none"/>
        </w:rPr>
        <w:t>期贷款</w:t>
      </w:r>
      <w:r>
        <w:rPr>
          <w:rFonts w:hint="eastAsia" w:ascii="仿宋" w:hAnsi="仿宋" w:eastAsia="仿宋" w:cs="Times New Roman"/>
          <w:sz w:val="26"/>
          <w:szCs w:val="26"/>
          <w:highlight w:val="none"/>
        </w:rPr>
        <w:t>2亿元</w:t>
      </w:r>
    </w:p>
    <w:p w14:paraId="035E2D44">
      <w:pPr>
        <w:pStyle w:val="12"/>
        <w:widowControl/>
        <w:numPr>
          <w:ilvl w:val="0"/>
          <w:numId w:val="1"/>
        </w:numPr>
        <w:ind w:firstLineChars="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贷款</w:t>
      </w:r>
      <w:r>
        <w:rPr>
          <w:rFonts w:hint="eastAsia" w:ascii="仿宋" w:hAnsi="仿宋" w:eastAsia="仿宋" w:cs="Times New Roman"/>
          <w:sz w:val="26"/>
          <w:szCs w:val="26"/>
          <w:highlight w:val="none"/>
        </w:rPr>
        <w:t>年</w:t>
      </w:r>
      <w:r>
        <w:rPr>
          <w:rFonts w:ascii="仿宋" w:hAnsi="仿宋" w:eastAsia="仿宋" w:cs="Times New Roman"/>
          <w:sz w:val="26"/>
          <w:szCs w:val="26"/>
          <w:highlight w:val="none"/>
        </w:rPr>
        <w:t>利率报价：</w:t>
      </w:r>
      <w:r>
        <w:rPr>
          <w:rFonts w:hint="eastAsia" w:ascii="仿宋" w:hAnsi="仿宋" w:eastAsia="仿宋" w:cs="Times New Roman"/>
          <w:sz w:val="26"/>
          <w:szCs w:val="26"/>
          <w:highlight w:val="none"/>
        </w:rPr>
        <w:t>X%</w:t>
      </w:r>
    </w:p>
    <w:p w14:paraId="775050B7">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贷款年利率为固定利率/浮动利率？</w:t>
      </w:r>
    </w:p>
    <w:p w14:paraId="7F3BF17D">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贷款投放金额：X亿元</w:t>
      </w:r>
    </w:p>
    <w:p w14:paraId="04E11EC5">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贷款期限：X年</w:t>
      </w:r>
    </w:p>
    <w:p w14:paraId="7A25DF20">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是否需要分期还款？如需要，每年分期还款总额为？</w:t>
      </w:r>
    </w:p>
    <w:p w14:paraId="35F41DBC">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贷款发放条件</w:t>
      </w:r>
    </w:p>
    <w:p w14:paraId="2180F6F3">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宋体"/>
          <w:color w:val="000000"/>
          <w:kern w:val="0"/>
          <w:sz w:val="26"/>
          <w:szCs w:val="26"/>
          <w:highlight w:val="none"/>
        </w:rPr>
        <w:t>是否可按招标人意愿时间提前还款（明确是/否）</w:t>
      </w:r>
    </w:p>
    <w:p w14:paraId="0F8F8538">
      <w:pPr>
        <w:pStyle w:val="12"/>
        <w:widowControl/>
        <w:numPr>
          <w:ilvl w:val="0"/>
          <w:numId w:val="1"/>
        </w:numPr>
        <w:ind w:firstLineChars="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贷款放款周期</w:t>
      </w:r>
      <w:r>
        <w:rPr>
          <w:rFonts w:hint="eastAsia" w:ascii="仿宋" w:hAnsi="仿宋" w:eastAsia="仿宋" w:cs="宋体"/>
          <w:color w:val="000000"/>
          <w:kern w:val="0"/>
          <w:sz w:val="26"/>
          <w:szCs w:val="26"/>
          <w:highlight w:val="none"/>
        </w:rPr>
        <w:t>（明确天数）</w:t>
      </w:r>
    </w:p>
    <w:p w14:paraId="7A87B8D0">
      <w:pPr>
        <w:widowControl/>
        <w:jc w:val="left"/>
        <w:rPr>
          <w:rFonts w:hint="eastAsia" w:ascii="仿宋" w:hAnsi="仿宋" w:eastAsia="仿宋" w:cs="Times New Roman"/>
          <w:sz w:val="26"/>
          <w:szCs w:val="26"/>
          <w:highlight w:val="none"/>
        </w:rPr>
      </w:pPr>
    </w:p>
    <w:p w14:paraId="79AF00B4">
      <w:pPr>
        <w:rPr>
          <w:rFonts w:hint="eastAsia" w:ascii="仿宋" w:hAnsi="仿宋" w:eastAsia="仿宋" w:cs="Times New Roman"/>
          <w:sz w:val="26"/>
          <w:szCs w:val="26"/>
          <w:highlight w:val="none"/>
        </w:rPr>
      </w:pPr>
    </w:p>
    <w:p w14:paraId="26D2DC55">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比选响应单位：（全称称并加羔公章）</w:t>
      </w:r>
    </w:p>
    <w:p w14:paraId="025B7DED">
      <w:pPr>
        <w:ind w:firstLine="3900" w:firstLineChars="150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33E29E21">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w:t>
      </w:r>
      <w:r>
        <w:rPr>
          <w:rFonts w:hint="eastAsia" w:ascii="仿宋" w:hAnsi="仿宋" w:eastAsia="仿宋" w:cs="Times New Roman"/>
          <w:sz w:val="26"/>
          <w:szCs w:val="26"/>
          <w:highlight w:val="none"/>
        </w:rPr>
        <w:t>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6年1月X日</w:t>
      </w:r>
    </w:p>
    <w:p w14:paraId="71DD8D31">
      <w:pPr>
        <w:widowControl/>
        <w:ind w:left="425"/>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3</w:t>
      </w:r>
      <w:r>
        <w:rPr>
          <w:rFonts w:ascii="仿宋" w:hAnsi="仿宋" w:eastAsia="仿宋" w:cs="Times New Roman"/>
          <w:sz w:val="26"/>
          <w:szCs w:val="26"/>
          <w:highlight w:val="none"/>
        </w:rPr>
        <w:t>.</w:t>
      </w:r>
      <w:r>
        <w:rPr>
          <w:rFonts w:hint="eastAsia" w:ascii="仿宋" w:hAnsi="仿宋" w:eastAsia="仿宋" w:cs="Times New Roman"/>
          <w:sz w:val="26"/>
          <w:szCs w:val="26"/>
          <w:highlight w:val="none"/>
        </w:rPr>
        <w:t>法定代表人授权书</w:t>
      </w:r>
    </w:p>
    <w:p w14:paraId="4FB2C067">
      <w:pPr>
        <w:widowControl/>
        <w:ind w:firstLine="520" w:firstLineChars="200"/>
        <w:jc w:val="left"/>
        <w:rPr>
          <w:rFonts w:hint="eastAsia" w:ascii="仿宋" w:hAnsi="仿宋" w:eastAsia="仿宋" w:cs="Times New Roman"/>
          <w:sz w:val="26"/>
          <w:szCs w:val="26"/>
          <w:highlight w:val="none"/>
        </w:rPr>
      </w:pPr>
    </w:p>
    <w:p w14:paraId="140F28A4">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本授权委托书声明：我</w:t>
      </w:r>
      <w:r>
        <w:rPr>
          <w:rFonts w:hint="eastAsia" w:ascii="仿宋" w:hAnsi="仿宋" w:eastAsia="仿宋" w:cs="Times New Roman"/>
          <w:sz w:val="26"/>
          <w:szCs w:val="26"/>
          <w:highlight w:val="none"/>
          <w:u w:val="single"/>
        </w:rPr>
        <w:t>（姓名）</w:t>
      </w:r>
      <w:r>
        <w:rPr>
          <w:rFonts w:ascii="仿宋" w:hAnsi="仿宋" w:eastAsia="仿宋" w:cs="Times New Roman"/>
          <w:sz w:val="26"/>
          <w:szCs w:val="26"/>
          <w:highlight w:val="none"/>
        </w:rPr>
        <w:t>系</w:t>
      </w:r>
      <w:r>
        <w:rPr>
          <w:rFonts w:hint="eastAsia" w:ascii="仿宋" w:hAnsi="仿宋" w:eastAsia="仿宋" w:cs="Times New Roman"/>
          <w:sz w:val="26"/>
          <w:szCs w:val="26"/>
          <w:highlight w:val="none"/>
          <w:u w:val="single"/>
        </w:rPr>
        <w:t>（比选响应单位）</w:t>
      </w:r>
      <w:r>
        <w:rPr>
          <w:rFonts w:ascii="仿宋" w:hAnsi="仿宋" w:eastAsia="仿宋" w:cs="Times New Roman"/>
          <w:sz w:val="26"/>
          <w:szCs w:val="26"/>
          <w:highlight w:val="none"/>
        </w:rPr>
        <w:t>的法定代</w:t>
      </w:r>
      <w:r>
        <w:rPr>
          <w:rFonts w:hint="eastAsia" w:ascii="仿宋" w:hAnsi="仿宋" w:eastAsia="仿宋" w:cs="Times New Roman"/>
          <w:sz w:val="26"/>
          <w:szCs w:val="26"/>
          <w:highlight w:val="none"/>
        </w:rPr>
        <w:t>人，</w:t>
      </w:r>
      <w:r>
        <w:rPr>
          <w:rFonts w:ascii="仿宋" w:hAnsi="仿宋" w:eastAsia="仿宋" w:cs="Times New Roman"/>
          <w:sz w:val="26"/>
          <w:szCs w:val="26"/>
          <w:highlight w:val="none"/>
        </w:rPr>
        <w:t>现授权（姓名／职各）为我公司委托代理人，以本单位的名义参加</w:t>
      </w:r>
      <w:r>
        <w:rPr>
          <w:rFonts w:hint="eastAsia" w:ascii="仿宋" w:hAnsi="仿宋" w:eastAsia="仿宋" w:cs="Times New Roman"/>
          <w:sz w:val="26"/>
          <w:szCs w:val="26"/>
          <w:highlight w:val="none"/>
          <w:u w:val="single"/>
        </w:rPr>
        <w:t>天航局总部</w:t>
      </w:r>
      <w:r>
        <w:rPr>
          <w:rFonts w:hint="eastAsia" w:ascii="仿宋" w:hAnsi="仿宋" w:eastAsia="仿宋" w:cs="Times New Roman"/>
          <w:sz w:val="26"/>
          <w:szCs w:val="26"/>
          <w:highlight w:val="none"/>
          <w:u w:val="single"/>
        </w:rPr>
        <w:t>2</w:t>
      </w:r>
      <w:r>
        <w:rPr>
          <w:rFonts w:ascii="仿宋" w:hAnsi="仿宋" w:eastAsia="仿宋" w:cs="Times New Roman"/>
          <w:sz w:val="26"/>
          <w:szCs w:val="26"/>
          <w:highlight w:val="none"/>
          <w:u w:val="single"/>
        </w:rPr>
        <w:t>亿</w:t>
      </w:r>
      <w:r>
        <w:rPr>
          <w:rFonts w:ascii="仿宋" w:hAnsi="仿宋" w:eastAsia="仿宋" w:cs="Times New Roman"/>
          <w:sz w:val="26"/>
          <w:szCs w:val="26"/>
          <w:highlight w:val="none"/>
          <w:u w:val="single"/>
        </w:rPr>
        <w:t>贷款</w:t>
      </w:r>
      <w:r>
        <w:rPr>
          <w:rFonts w:hint="eastAsia" w:ascii="仿宋" w:hAnsi="仿宋" w:eastAsia="仿宋" w:cs="Times New Roman"/>
          <w:sz w:val="26"/>
          <w:szCs w:val="26"/>
          <w:highlight w:val="none"/>
          <w:u w:val="single"/>
        </w:rPr>
        <w:t>业务</w:t>
      </w:r>
      <w:r>
        <w:rPr>
          <w:rFonts w:ascii="仿宋" w:hAnsi="仿宋" w:eastAsia="仿宋" w:cs="Times New Roman"/>
          <w:sz w:val="26"/>
          <w:szCs w:val="26"/>
          <w:highlight w:val="none"/>
        </w:rPr>
        <w:t>的比选活动。委托代理人在该比选活动中所签署的一切文件和处理与之有关的一切事务， 我及我单位均予以承认并全部承担其所产生的所有权利和义务。</w:t>
      </w:r>
    </w:p>
    <w:p w14:paraId="1E72BDA9">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委托代理人无转委托权。特此委托。</w:t>
      </w:r>
    </w:p>
    <w:p w14:paraId="0CA81D5B">
      <w:pPr>
        <w:widowControl/>
        <w:ind w:firstLine="520" w:firstLineChars="200"/>
        <w:jc w:val="left"/>
        <w:rPr>
          <w:rFonts w:hint="eastAsia" w:ascii="仿宋" w:hAnsi="仿宋" w:eastAsia="仿宋" w:cs="Times New Roman"/>
          <w:sz w:val="26"/>
          <w:szCs w:val="26"/>
          <w:highlight w:val="none"/>
        </w:rPr>
      </w:pPr>
    </w:p>
    <w:p w14:paraId="2B55B21D">
      <w:pPr>
        <w:widowControl/>
        <w:ind w:firstLine="520" w:firstLineChars="200"/>
        <w:jc w:val="left"/>
        <w:rPr>
          <w:rFonts w:hint="eastAsia" w:ascii="仿宋" w:hAnsi="仿宋" w:eastAsia="仿宋" w:cs="Times New Roman"/>
          <w:sz w:val="26"/>
          <w:szCs w:val="26"/>
          <w:highlight w:val="none"/>
          <w:u w:val="single"/>
        </w:rPr>
      </w:pPr>
      <w:r>
        <w:rPr>
          <w:rFonts w:hint="eastAsia" w:ascii="仿宋" w:hAnsi="仿宋" w:eastAsia="仿宋" w:cs="Times New Roman"/>
          <w:sz w:val="26"/>
          <w:szCs w:val="26"/>
          <w:highlight w:val="none"/>
        </w:rPr>
        <w:t>委托代理人：</w:t>
      </w:r>
      <w:r>
        <w:rPr>
          <w:rFonts w:hint="eastAsia" w:ascii="仿宋" w:hAnsi="仿宋" w:eastAsia="仿宋" w:cs="Times New Roman"/>
          <w:sz w:val="26"/>
          <w:szCs w:val="26"/>
          <w:highlight w:val="none"/>
          <w:u w:val="single"/>
        </w:rPr>
        <w:t>（签字）</w:t>
      </w:r>
    </w:p>
    <w:p w14:paraId="0DFDCF83">
      <w:pPr>
        <w:widowControl/>
        <w:ind w:firstLine="520" w:firstLineChars="200"/>
        <w:jc w:val="left"/>
        <w:rPr>
          <w:rFonts w:hint="eastAsia" w:ascii="仿宋" w:hAnsi="仿宋" w:eastAsia="仿宋" w:cs="Times New Roman"/>
          <w:sz w:val="26"/>
          <w:szCs w:val="26"/>
          <w:highlight w:val="none"/>
          <w:u w:val="single"/>
        </w:rPr>
      </w:pPr>
      <w:r>
        <w:rPr>
          <w:rFonts w:ascii="仿宋" w:hAnsi="仿宋" w:eastAsia="仿宋" w:cs="Times New Roman"/>
          <w:sz w:val="26"/>
          <w:szCs w:val="26"/>
          <w:highlight w:val="none"/>
        </w:rPr>
        <w:t>委托代理人（电话）</w:t>
      </w:r>
      <w:r>
        <w:rPr>
          <w:rFonts w:hint="eastAsia" w:ascii="仿宋" w:hAnsi="仿宋" w:eastAsia="仿宋" w:cs="Times New Roman"/>
          <w:sz w:val="26"/>
          <w:szCs w:val="26"/>
          <w:highlight w:val="none"/>
        </w:rPr>
        <w:t>：</w:t>
      </w:r>
      <w:r>
        <w:rPr>
          <w:rFonts w:hint="eastAsia" w:ascii="仿宋" w:hAnsi="仿宋" w:eastAsia="仿宋" w:cs="Times New Roman"/>
          <w:sz w:val="26"/>
          <w:szCs w:val="26"/>
          <w:highlight w:val="none"/>
          <w:u w:val="single"/>
        </w:rPr>
        <w:t>（手机号码）</w:t>
      </w:r>
    </w:p>
    <w:p w14:paraId="3265E3E9">
      <w:pPr>
        <w:widowControl/>
        <w:ind w:firstLine="520" w:firstLineChars="200"/>
        <w:jc w:val="left"/>
        <w:rPr>
          <w:rFonts w:hint="eastAsia" w:ascii="仿宋" w:hAnsi="仿宋" w:eastAsia="仿宋" w:cs="Times New Roman"/>
          <w:sz w:val="26"/>
          <w:szCs w:val="26"/>
          <w:highlight w:val="none"/>
          <w:u w:val="single"/>
        </w:rPr>
      </w:pPr>
    </w:p>
    <w:p w14:paraId="37D7B05C">
      <w:pPr>
        <w:widowControl/>
        <w:ind w:firstLine="520" w:firstLineChars="200"/>
        <w:jc w:val="left"/>
        <w:rPr>
          <w:rFonts w:hint="eastAsia" w:ascii="仿宋" w:hAnsi="仿宋" w:eastAsia="仿宋" w:cs="Times New Roman"/>
          <w:sz w:val="26"/>
          <w:szCs w:val="26"/>
          <w:highlight w:val="none"/>
          <w:u w:val="single"/>
        </w:rPr>
      </w:pPr>
    </w:p>
    <w:p w14:paraId="4DEBBB40">
      <w:pPr>
        <w:widowControl/>
        <w:ind w:firstLine="520" w:firstLineChars="200"/>
        <w:jc w:val="left"/>
        <w:rPr>
          <w:rFonts w:hint="eastAsia" w:ascii="仿宋" w:hAnsi="仿宋" w:eastAsia="仿宋" w:cs="Times New Roman"/>
          <w:sz w:val="26"/>
          <w:szCs w:val="26"/>
          <w:highlight w:val="none"/>
          <w:u w:val="single"/>
        </w:rPr>
      </w:pPr>
    </w:p>
    <w:p w14:paraId="6D6DC56E">
      <w:pPr>
        <w:ind w:left="420" w:leftChars="200" w:firstLine="3380" w:firstLineChars="1300"/>
        <w:jc w:val="left"/>
        <w:rPr>
          <w:rFonts w:hint="eastAsia" w:ascii="仿宋" w:hAnsi="仿宋" w:eastAsia="仿宋" w:cs="Times New Roman"/>
          <w:sz w:val="26"/>
          <w:szCs w:val="26"/>
          <w:highlight w:val="none"/>
        </w:rPr>
      </w:pPr>
    </w:p>
    <w:p w14:paraId="419626D6">
      <w:pPr>
        <w:ind w:left="420" w:leftChars="200" w:firstLine="3380" w:firstLineChars="1300"/>
        <w:jc w:val="left"/>
        <w:rPr>
          <w:rFonts w:hint="eastAsia" w:ascii="仿宋" w:hAnsi="仿宋" w:eastAsia="仿宋" w:cs="Times New Roman"/>
          <w:sz w:val="26"/>
          <w:szCs w:val="26"/>
          <w:highlight w:val="none"/>
        </w:rPr>
      </w:pPr>
    </w:p>
    <w:p w14:paraId="1043F78A">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比选响应单位：（全称称并加羔公章）</w:t>
      </w:r>
    </w:p>
    <w:p w14:paraId="1A7C2C6C">
      <w:pPr>
        <w:ind w:firstLine="3900" w:firstLineChars="1500"/>
        <w:jc w:val="left"/>
        <w:rPr>
          <w:rFonts w:hint="eastAsia" w:ascii="仿宋" w:hAnsi="仿宋" w:eastAsia="仿宋" w:cs="Times New Roman"/>
          <w:sz w:val="26"/>
          <w:szCs w:val="26"/>
          <w:highlight w:val="none"/>
        </w:rPr>
      </w:pPr>
      <w:r>
        <w:rPr>
          <w:rFonts w:ascii="仿宋" w:hAnsi="仿宋" w:eastAsia="仿宋" w:cs="Times New Roman"/>
          <w:sz w:val="26"/>
          <w:szCs w:val="26"/>
          <w:highlight w:val="none"/>
        </w:rPr>
        <w:t>法定代表人：（盖章或签字〉</w:t>
      </w:r>
    </w:p>
    <w:p w14:paraId="28C0E30F">
      <w:pPr>
        <w:ind w:left="420" w:leftChars="200" w:firstLine="3380" w:firstLineChars="13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日期：2</w:t>
      </w:r>
      <w:r>
        <w:rPr>
          <w:rFonts w:ascii="仿宋" w:hAnsi="仿宋" w:eastAsia="仿宋" w:cs="Times New Roman"/>
          <w:sz w:val="26"/>
          <w:szCs w:val="26"/>
          <w:highlight w:val="none"/>
        </w:rPr>
        <w:t>02</w:t>
      </w:r>
      <w:r>
        <w:rPr>
          <w:rFonts w:hint="eastAsia" w:ascii="仿宋" w:hAnsi="仿宋" w:eastAsia="仿宋" w:cs="Times New Roman"/>
          <w:sz w:val="26"/>
          <w:szCs w:val="26"/>
          <w:highlight w:val="none"/>
        </w:rPr>
        <w:t>6年</w:t>
      </w:r>
      <w:r>
        <w:rPr>
          <w:rFonts w:hint="eastAsia" w:ascii="仿宋" w:hAnsi="仿宋" w:eastAsia="仿宋" w:cs="Times New Roman"/>
          <w:sz w:val="26"/>
          <w:szCs w:val="26"/>
          <w:highlight w:val="none"/>
        </w:rPr>
        <w:t>1月X日</w:t>
      </w:r>
    </w:p>
    <w:p w14:paraId="00BA5746">
      <w:pPr>
        <w:widowControl/>
        <w:ind w:firstLine="360" w:firstLineChars="200"/>
        <w:jc w:val="left"/>
        <w:rPr>
          <w:rFonts w:hint="eastAsia" w:ascii="仿宋" w:hAnsi="仿宋" w:eastAsia="仿宋" w:cs="Times New Roman"/>
          <w:sz w:val="18"/>
          <w:szCs w:val="18"/>
          <w:highlight w:val="none"/>
          <w:u w:val="single"/>
        </w:rPr>
      </w:pPr>
    </w:p>
    <w:p w14:paraId="6E65760F">
      <w:pPr>
        <w:widowControl/>
        <w:ind w:firstLine="360" w:firstLineChars="200"/>
        <w:jc w:val="left"/>
        <w:rPr>
          <w:rFonts w:hint="eastAsia" w:ascii="仿宋" w:hAnsi="仿宋" w:eastAsia="仿宋" w:cs="Times New Roman"/>
          <w:sz w:val="18"/>
          <w:szCs w:val="18"/>
          <w:highlight w:val="none"/>
          <w:u w:val="single"/>
        </w:rPr>
      </w:pPr>
    </w:p>
    <w:p w14:paraId="06414014">
      <w:pPr>
        <w:widowControl/>
        <w:ind w:left="360" w:hanging="360" w:hangingChars="200"/>
        <w:jc w:val="left"/>
        <w:rPr>
          <w:rFonts w:hint="eastAsia" w:ascii="仿宋" w:hAnsi="仿宋" w:eastAsia="仿宋" w:cs="Times New Roman"/>
          <w:sz w:val="18"/>
          <w:szCs w:val="18"/>
          <w:highlight w:val="none"/>
        </w:rPr>
      </w:pPr>
      <w:r>
        <w:rPr>
          <w:rFonts w:hint="eastAsia" w:ascii="仿宋" w:hAnsi="仿宋" w:eastAsia="仿宋" w:cs="Times New Roman"/>
          <w:sz w:val="18"/>
          <w:szCs w:val="18"/>
          <w:highlight w:val="none"/>
        </w:rPr>
        <w:t>注：</w:t>
      </w:r>
      <w:r>
        <w:rPr>
          <w:rFonts w:ascii="仿宋" w:hAnsi="仿宋" w:eastAsia="仿宋" w:cs="Times New Roman"/>
          <w:b/>
          <w:bCs/>
          <w:color w:val="FF0000"/>
          <w:sz w:val="18"/>
          <w:szCs w:val="18"/>
          <w:highlight w:val="none"/>
        </w:rPr>
        <w:t>1、附法定代表人及委托代理人身份证复印件。</w:t>
      </w:r>
    </w:p>
    <w:p w14:paraId="6971FCED">
      <w:pPr>
        <w:pStyle w:val="12"/>
        <w:widowControl/>
        <w:numPr>
          <w:ilvl w:val="0"/>
          <w:numId w:val="2"/>
        </w:numPr>
        <w:ind w:left="360" w:hangingChars="200"/>
        <w:jc w:val="left"/>
        <w:rPr>
          <w:rFonts w:hint="eastAsia" w:ascii="仿宋" w:hAnsi="仿宋" w:eastAsia="仿宋" w:cs="Times New Roman"/>
          <w:sz w:val="18"/>
          <w:szCs w:val="18"/>
          <w:highlight w:val="none"/>
        </w:rPr>
      </w:pPr>
      <w:r>
        <w:rPr>
          <w:rFonts w:hint="eastAsia" w:ascii="仿宋" w:hAnsi="仿宋" w:eastAsia="仿宋" w:cs="Times New Roman"/>
          <w:sz w:val="18"/>
          <w:szCs w:val="18"/>
          <w:highlight w:val="none"/>
        </w:rPr>
        <w:t>比选响应单位的法定代表人直接参加比逃活动的，</w:t>
      </w:r>
      <w:r>
        <w:rPr>
          <w:rFonts w:ascii="仿宋" w:hAnsi="仿宋" w:eastAsia="仿宋" w:cs="Times New Roman"/>
          <w:sz w:val="18"/>
          <w:szCs w:val="18"/>
          <w:highlight w:val="none"/>
        </w:rPr>
        <w:t>不</w:t>
      </w:r>
      <w:r>
        <w:rPr>
          <w:rFonts w:hint="eastAsia" w:ascii="仿宋" w:hAnsi="仿宋" w:eastAsia="仿宋" w:cs="Times New Roman"/>
          <w:sz w:val="18"/>
          <w:szCs w:val="18"/>
          <w:highlight w:val="none"/>
        </w:rPr>
        <w:t>需</w:t>
      </w:r>
      <w:r>
        <w:rPr>
          <w:rFonts w:ascii="仿宋" w:hAnsi="仿宋" w:eastAsia="仿宋" w:cs="Times New Roman"/>
          <w:sz w:val="18"/>
          <w:szCs w:val="18"/>
          <w:highlight w:val="none"/>
        </w:rPr>
        <w:t>要提供授权书。</w:t>
      </w:r>
    </w:p>
    <w:p w14:paraId="29D199B0">
      <w:pPr>
        <w:widowControl/>
        <w:jc w:val="left"/>
        <w:rPr>
          <w:rFonts w:hint="eastAsia" w:ascii="仿宋" w:hAnsi="仿宋" w:eastAsia="仿宋" w:cs="Times New Roman"/>
          <w:sz w:val="18"/>
          <w:szCs w:val="18"/>
          <w:highlight w:val="none"/>
        </w:rPr>
      </w:pPr>
      <w:r>
        <w:rPr>
          <w:rFonts w:ascii="仿宋" w:hAnsi="仿宋" w:eastAsia="仿宋" w:cs="Times New Roman"/>
          <w:sz w:val="18"/>
          <w:szCs w:val="18"/>
          <w:highlight w:val="none"/>
        </w:rPr>
        <w:br w:type="page"/>
      </w:r>
    </w:p>
    <w:p w14:paraId="0E399FCA">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4、单位简介</w:t>
      </w:r>
    </w:p>
    <w:tbl>
      <w:tblPr>
        <w:tblStyle w:val="5"/>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6"/>
      </w:tblGrid>
      <w:tr w14:paraId="66B0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5" w:hRule="atLeast"/>
        </w:trPr>
        <w:tc>
          <w:tcPr>
            <w:tcW w:w="8316" w:type="dxa"/>
          </w:tcPr>
          <w:p w14:paraId="14ED17A1">
            <w:pPr>
              <w:widowControl/>
              <w:jc w:val="left"/>
              <w:rPr>
                <w:rFonts w:hint="eastAsia" w:ascii="仿宋" w:hAnsi="仿宋" w:eastAsia="仿宋" w:cs="Times New Roman"/>
                <w:sz w:val="18"/>
                <w:szCs w:val="18"/>
                <w:highlight w:val="none"/>
              </w:rPr>
            </w:pPr>
          </w:p>
        </w:tc>
      </w:tr>
    </w:tbl>
    <w:p w14:paraId="300295EC">
      <w:pPr>
        <w:widowControl/>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5、服务方案</w:t>
      </w:r>
    </w:p>
    <w:tbl>
      <w:tblPr>
        <w:tblStyle w:val="5"/>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6"/>
      </w:tblGrid>
      <w:tr w14:paraId="16A1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0" w:hRule="atLeast"/>
        </w:trPr>
        <w:tc>
          <w:tcPr>
            <w:tcW w:w="8346" w:type="dxa"/>
          </w:tcPr>
          <w:p w14:paraId="73FD758F">
            <w:pPr>
              <w:ind w:firstLine="520" w:firstLineChars="20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包括但不限于：</w:t>
            </w:r>
          </w:p>
          <w:p w14:paraId="2282380F">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1.</w:t>
            </w:r>
            <w:r>
              <w:rPr>
                <w:rFonts w:hint="eastAsia" w:ascii="仿宋" w:hAnsi="仿宋" w:eastAsia="仿宋" w:cs="仿宋"/>
                <w:color w:val="000000"/>
                <w:sz w:val="26"/>
                <w:szCs w:val="26"/>
                <w:highlight w:val="none"/>
              </w:rPr>
              <w:t>贷款投放金额</w:t>
            </w:r>
          </w:p>
          <w:p w14:paraId="32C2284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2.</w:t>
            </w:r>
            <w:r>
              <w:rPr>
                <w:rFonts w:hint="eastAsia" w:ascii="仿宋" w:hAnsi="仿宋" w:eastAsia="仿宋" w:cs="仿宋"/>
                <w:color w:val="000000"/>
                <w:sz w:val="26"/>
                <w:szCs w:val="26"/>
                <w:highlight w:val="none"/>
              </w:rPr>
              <w:t>贷款期限</w:t>
            </w:r>
          </w:p>
          <w:p w14:paraId="78AD521D">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3</w:t>
            </w:r>
            <w:r>
              <w:rPr>
                <w:rFonts w:ascii="仿宋" w:hAnsi="仿宋" w:eastAsia="仿宋" w:cs="仿宋"/>
                <w:color w:val="000000"/>
                <w:sz w:val="26"/>
                <w:szCs w:val="26"/>
                <w:highlight w:val="none"/>
              </w:rPr>
              <w:t>.</w:t>
            </w:r>
            <w:r>
              <w:rPr>
                <w:rFonts w:hint="eastAsia" w:ascii="仿宋" w:hAnsi="仿宋" w:eastAsia="仿宋" w:cs="仿宋"/>
                <w:color w:val="000000"/>
                <w:sz w:val="26"/>
                <w:szCs w:val="26"/>
                <w:highlight w:val="none"/>
              </w:rPr>
              <w:t>贷款年利率</w:t>
            </w:r>
          </w:p>
          <w:p w14:paraId="7C8CB88A">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4</w:t>
            </w:r>
            <w:r>
              <w:rPr>
                <w:rFonts w:ascii="仿宋" w:hAnsi="仿宋" w:eastAsia="仿宋" w:cs="仿宋"/>
                <w:color w:val="000000"/>
                <w:sz w:val="26"/>
                <w:szCs w:val="26"/>
                <w:highlight w:val="none"/>
              </w:rPr>
              <w:t>.</w:t>
            </w:r>
            <w:r>
              <w:rPr>
                <w:rFonts w:hint="eastAsia" w:ascii="仿宋" w:hAnsi="仿宋" w:eastAsia="仿宋" w:cs="仿宋"/>
                <w:color w:val="000000"/>
                <w:sz w:val="26"/>
                <w:szCs w:val="26"/>
                <w:highlight w:val="none"/>
              </w:rPr>
              <w:t>贷款年利率为浮动利率还是固定利率？</w:t>
            </w:r>
          </w:p>
          <w:p w14:paraId="1088C9DB">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仿宋"/>
                <w:color w:val="000000"/>
                <w:sz w:val="26"/>
                <w:szCs w:val="26"/>
                <w:highlight w:val="none"/>
              </w:rPr>
              <w:t>5.</w:t>
            </w:r>
            <w:r>
              <w:rPr>
                <w:rFonts w:hint="eastAsia" w:ascii="仿宋" w:hAnsi="仿宋" w:eastAsia="仿宋" w:cs="Times New Roman"/>
                <w:sz w:val="26"/>
                <w:szCs w:val="26"/>
                <w:highlight w:val="none"/>
              </w:rPr>
              <w:t>是否需要分期还款？如需要，每年分期还款总额为？</w:t>
            </w:r>
          </w:p>
          <w:p w14:paraId="2C342B5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6.</w:t>
            </w:r>
            <w:r>
              <w:rPr>
                <w:rFonts w:hint="eastAsia" w:ascii="仿宋" w:hAnsi="仿宋" w:eastAsia="仿宋" w:cs="仿宋"/>
                <w:color w:val="000000"/>
                <w:sz w:val="26"/>
                <w:szCs w:val="26"/>
                <w:highlight w:val="none"/>
              </w:rPr>
              <w:t xml:space="preserve">贷款发放条件 </w:t>
            </w:r>
          </w:p>
          <w:p w14:paraId="610A5CBC">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请用文字描述，并作答以下问题：</w:t>
            </w:r>
          </w:p>
          <w:p w14:paraId="5E19623E">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a、贷款用途是否能为“天航局向子公司支付工程款”？</w:t>
            </w:r>
          </w:p>
          <w:p w14:paraId="0EDAC3C3">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 xml:space="preserve"> </w:t>
            </w:r>
            <w:r>
              <w:rPr>
                <w:rFonts w:ascii="仿宋" w:hAnsi="仿宋" w:eastAsia="仿宋"/>
                <w:sz w:val="24"/>
                <w:szCs w:val="24"/>
                <w:highlight w:val="none"/>
              </w:rPr>
              <w:t xml:space="preserve">   </w:t>
            </w: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7994BE24">
            <w:pPr>
              <w:spacing w:line="400" w:lineRule="exact"/>
              <w:ind w:left="360" w:hanging="360" w:hangingChars="150"/>
              <w:rPr>
                <w:rFonts w:hint="eastAsia" w:ascii="仿宋" w:hAnsi="仿宋" w:eastAsia="仿宋"/>
                <w:sz w:val="24"/>
                <w:szCs w:val="24"/>
                <w:highlight w:val="none"/>
              </w:rPr>
            </w:pPr>
            <w:r>
              <w:rPr>
                <w:rFonts w:hint="eastAsia" w:ascii="仿宋" w:hAnsi="仿宋" w:eastAsia="仿宋"/>
                <w:sz w:val="24"/>
                <w:szCs w:val="24"/>
                <w:highlight w:val="none"/>
              </w:rPr>
              <w:t>b、贷款用途背景合同是否有特殊要求，如“水利建设相关，生态环保相关，路网、管道等建设项目”？</w:t>
            </w:r>
          </w:p>
          <w:p w14:paraId="5A4F7505">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35492A17">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c、贷款用途背景合同所涉及的建设区域是否有限制？</w:t>
            </w:r>
          </w:p>
          <w:p w14:paraId="52E09610">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0CE9B843">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d、是否要求贷款用途背景合同的状态为“在建”？</w:t>
            </w:r>
          </w:p>
          <w:p w14:paraId="7D4E8AA6">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4929F7DE">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e、放款是否需要贷款用途背景合同所对应的结算单？</w:t>
            </w:r>
            <w:r>
              <w:rPr>
                <w:rFonts w:hint="eastAsia" w:ascii="仿宋" w:hAnsi="仿宋" w:eastAsia="仿宋"/>
                <w:sz w:val="24"/>
                <w:szCs w:val="24"/>
                <w:highlight w:val="none"/>
              </w:rPr>
              <w:t>如果需要，对结算单的时间要求为？</w:t>
            </w:r>
          </w:p>
          <w:p w14:paraId="69557C22">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59DDC361">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f、放款是否需要贷款用途背景合同所对应的发票？</w:t>
            </w:r>
            <w:r>
              <w:rPr>
                <w:rFonts w:hint="eastAsia" w:ascii="仿宋" w:hAnsi="仿宋" w:eastAsia="仿宋"/>
                <w:sz w:val="24"/>
                <w:szCs w:val="24"/>
                <w:highlight w:val="none"/>
              </w:rPr>
              <w:t>如果需要，对发票的时间要求为？</w:t>
            </w:r>
          </w:p>
          <w:p w14:paraId="1B5DF79B">
            <w:pPr>
              <w:spacing w:line="400" w:lineRule="exact"/>
              <w:rPr>
                <w:rFonts w:hint="eastAsia" w:ascii="仿宋" w:hAnsi="仿宋" w:eastAsia="仿宋"/>
                <w:sz w:val="24"/>
                <w:szCs w:val="24"/>
                <w:highlight w:val="none"/>
              </w:rPr>
            </w:pPr>
          </w:p>
          <w:p w14:paraId="0935D330">
            <w:pPr>
              <w:spacing w:line="400" w:lineRule="exact"/>
              <w:ind w:firstLine="420"/>
              <w:rPr>
                <w:rFonts w:hint="eastAsia" w:ascii="仿宋" w:hAnsi="仿宋" w:eastAsia="仿宋"/>
                <w:sz w:val="24"/>
                <w:szCs w:val="24"/>
                <w:highlight w:val="none"/>
              </w:rPr>
            </w:pPr>
            <w:r>
              <w:rPr>
                <w:rFonts w:hint="eastAsia" w:ascii="仿宋" w:hAnsi="仿宋" w:eastAsia="仿宋"/>
                <w:sz w:val="24"/>
                <w:szCs w:val="24"/>
                <w:highlight w:val="none"/>
              </w:rPr>
              <w:t xml:space="preserve">是□ </w:t>
            </w:r>
            <w:r>
              <w:rPr>
                <w:rFonts w:ascii="仿宋" w:hAnsi="仿宋" w:eastAsia="仿宋"/>
                <w:sz w:val="24"/>
                <w:szCs w:val="24"/>
                <w:highlight w:val="none"/>
              </w:rPr>
              <w:t xml:space="preserve">   </w:t>
            </w:r>
            <w:r>
              <w:rPr>
                <w:rFonts w:hint="eastAsia" w:ascii="仿宋" w:hAnsi="仿宋" w:eastAsia="仿宋"/>
                <w:sz w:val="24"/>
                <w:szCs w:val="24"/>
                <w:highlight w:val="none"/>
              </w:rPr>
              <w:t>否□</w:t>
            </w:r>
          </w:p>
          <w:p w14:paraId="68700F9B">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7.</w:t>
            </w:r>
            <w:r>
              <w:rPr>
                <w:rFonts w:hint="eastAsia" w:ascii="仿宋" w:hAnsi="仿宋" w:eastAsia="仿宋" w:cs="宋体"/>
                <w:color w:val="000000"/>
                <w:kern w:val="0"/>
                <w:sz w:val="26"/>
                <w:szCs w:val="26"/>
                <w:highlight w:val="none"/>
              </w:rPr>
              <w:t>是否可按招标人意愿时间提前还款（明确是/否）</w:t>
            </w:r>
          </w:p>
          <w:p w14:paraId="2E13AD70">
            <w:pPr>
              <w:ind w:firstLine="520" w:firstLineChars="200"/>
              <w:rPr>
                <w:rFonts w:hint="eastAsia" w:ascii="仿宋" w:hAnsi="仿宋" w:eastAsia="仿宋" w:cs="仿宋"/>
                <w:color w:val="000000"/>
                <w:sz w:val="26"/>
                <w:szCs w:val="26"/>
                <w:highlight w:val="none"/>
              </w:rPr>
            </w:pPr>
            <w:r>
              <w:rPr>
                <w:rFonts w:hint="eastAsia" w:ascii="仿宋" w:hAnsi="仿宋" w:eastAsia="仿宋" w:cs="Times New Roman"/>
                <w:sz w:val="26"/>
                <w:szCs w:val="26"/>
                <w:highlight w:val="none"/>
              </w:rPr>
              <w:t>8.</w:t>
            </w:r>
            <w:r>
              <w:rPr>
                <w:rFonts w:hint="eastAsia" w:ascii="仿宋" w:hAnsi="仿宋" w:eastAsia="仿宋" w:cs="仿宋"/>
                <w:color w:val="000000"/>
                <w:sz w:val="26"/>
                <w:szCs w:val="26"/>
                <w:highlight w:val="none"/>
              </w:rPr>
              <w:t>贷款放款周期</w:t>
            </w:r>
          </w:p>
          <w:p w14:paraId="6529FB7E">
            <w:pPr>
              <w:ind w:firstLine="520" w:firstLineChars="200"/>
              <w:rPr>
                <w:rFonts w:hint="eastAsia" w:ascii="仿宋" w:hAnsi="仿宋" w:eastAsia="仿宋" w:cs="仿宋"/>
                <w:color w:val="000000"/>
                <w:sz w:val="26"/>
                <w:szCs w:val="26"/>
                <w:highlight w:val="none"/>
              </w:rPr>
            </w:pPr>
            <w:r>
              <w:rPr>
                <w:rFonts w:hint="eastAsia" w:ascii="仿宋" w:hAnsi="仿宋" w:eastAsia="仿宋" w:cs="仿宋"/>
                <w:color w:val="000000"/>
                <w:sz w:val="26"/>
                <w:szCs w:val="26"/>
                <w:highlight w:val="none"/>
              </w:rPr>
              <w:t>9</w:t>
            </w:r>
            <w:r>
              <w:rPr>
                <w:rFonts w:hint="eastAsia" w:ascii="仿宋" w:hAnsi="仿宋" w:eastAsia="仿宋" w:cs="Times New Roman"/>
                <w:sz w:val="26"/>
                <w:szCs w:val="26"/>
                <w:highlight w:val="none"/>
              </w:rPr>
              <w:t>.</w:t>
            </w:r>
            <w:r>
              <w:rPr>
                <w:rFonts w:hint="eastAsia" w:ascii="仿宋" w:hAnsi="仿宋" w:eastAsia="仿宋" w:cs="仿宋"/>
                <w:color w:val="000000"/>
                <w:sz w:val="26"/>
                <w:szCs w:val="26"/>
                <w:highlight w:val="none"/>
              </w:rPr>
              <w:t>参与天航局各类融资业务的金融机构选聘比选次数（</w:t>
            </w:r>
            <w:r>
              <w:rPr>
                <w:rFonts w:hint="eastAsia" w:ascii="仿宋" w:hAnsi="仿宋" w:eastAsia="仿宋" w:cs="仿宋"/>
                <w:color w:val="000000"/>
                <w:sz w:val="26"/>
                <w:szCs w:val="26"/>
                <w:highlight w:val="none"/>
              </w:rPr>
              <w:t>自招标日开始向前推1年，参与天航局范围内各类融资业务正式招标、及询比价（有正式询价单）等书面材料为标准</w:t>
            </w:r>
            <w:r>
              <w:rPr>
                <w:rFonts w:hint="eastAsia" w:ascii="仿宋" w:hAnsi="仿宋" w:eastAsia="仿宋" w:cs="仿宋"/>
                <w:color w:val="000000"/>
                <w:sz w:val="26"/>
                <w:szCs w:val="26"/>
                <w:highlight w:val="none"/>
              </w:rPr>
              <w:t>）</w:t>
            </w:r>
          </w:p>
        </w:tc>
      </w:tr>
    </w:tbl>
    <w:p w14:paraId="72E96345">
      <w:pPr>
        <w:adjustRightInd w:val="0"/>
        <w:spacing w:line="360" w:lineRule="auto"/>
        <w:outlineLvl w:val="0"/>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三、评审办法</w:t>
      </w:r>
    </w:p>
    <w:p w14:paraId="74A88D89">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本次比选</w:t>
      </w:r>
      <w:r>
        <w:rPr>
          <w:rFonts w:ascii="仿宋" w:hAnsi="仿宋" w:eastAsia="仿宋" w:cs="Times New Roman"/>
          <w:sz w:val="26"/>
          <w:szCs w:val="26"/>
          <w:highlight w:val="none"/>
        </w:rPr>
        <w:t>评审采用综合评分法。</w:t>
      </w:r>
    </w:p>
    <w:p w14:paraId="1B77EED9">
      <w:pPr>
        <w:pStyle w:val="12"/>
        <w:widowControl/>
        <w:numPr>
          <w:ilvl w:val="0"/>
          <w:numId w:val="3"/>
        </w:numPr>
        <w:ind w:firstLineChars="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基本流程</w:t>
      </w:r>
    </w:p>
    <w:p w14:paraId="127D0D0E">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评审委员会首先对比选响应文件进行符合性审查，通过符合性审查的，评委按照评分标准（见后附评分表）依次对比选响应</w:t>
      </w:r>
      <w:r>
        <w:rPr>
          <w:rFonts w:ascii="仿宋" w:hAnsi="仿宋" w:eastAsia="仿宋" w:cs="Times New Roman"/>
          <w:sz w:val="26"/>
          <w:szCs w:val="26"/>
          <w:highlight w:val="none"/>
        </w:rPr>
        <w:t>单位的比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响应文件进行打分，将评委的打分取算术平均值作为比选响应单位的最终得分。按比</w:t>
      </w:r>
      <w:r>
        <w:rPr>
          <w:rFonts w:hint="eastAsia" w:ascii="仿宋" w:hAnsi="仿宋" w:eastAsia="仿宋" w:cs="Times New Roman"/>
          <w:sz w:val="26"/>
          <w:szCs w:val="26"/>
          <w:highlight w:val="none"/>
        </w:rPr>
        <w:t>选</w:t>
      </w:r>
      <w:r>
        <w:rPr>
          <w:rFonts w:ascii="仿宋" w:hAnsi="仿宋" w:eastAsia="仿宋" w:cs="Times New Roman"/>
          <w:sz w:val="26"/>
          <w:szCs w:val="26"/>
          <w:highlight w:val="none"/>
        </w:rPr>
        <w:t>响应单位的最终得分高低顺序进行排序确定中选银行。</w:t>
      </w:r>
    </w:p>
    <w:p w14:paraId="1EC2F6B6">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本次比选响应单位得分由高至低累加投放金额至</w:t>
      </w:r>
      <w:r>
        <w:rPr>
          <w:rFonts w:hint="eastAsia" w:ascii="仿宋" w:hAnsi="仿宋" w:eastAsia="仿宋" w:cs="Times New Roman"/>
          <w:sz w:val="26"/>
          <w:szCs w:val="26"/>
          <w:highlight w:val="none"/>
        </w:rPr>
        <w:t>2亿</w:t>
      </w:r>
      <w:r>
        <w:rPr>
          <w:rFonts w:hint="eastAsia" w:ascii="仿宋" w:hAnsi="仿宋" w:eastAsia="仿宋" w:cs="Times New Roman"/>
          <w:sz w:val="26"/>
          <w:szCs w:val="26"/>
          <w:highlight w:val="none"/>
        </w:rPr>
        <w:t>元金额的银行为中选单位。</w:t>
      </w:r>
    </w:p>
    <w:p w14:paraId="5D319F0A">
      <w:pPr>
        <w:widowControl/>
        <w:ind w:firstLine="520" w:firstLineChars="200"/>
        <w:jc w:val="left"/>
        <w:rPr>
          <w:rFonts w:hint="eastAsia" w:ascii="仿宋" w:hAnsi="仿宋" w:eastAsia="仿宋" w:cs="Times New Roman"/>
          <w:sz w:val="26"/>
          <w:szCs w:val="26"/>
          <w:highlight w:val="none"/>
        </w:rPr>
      </w:pPr>
      <w:r>
        <w:rPr>
          <w:rFonts w:hint="eastAsia" w:ascii="仿宋" w:hAnsi="仿宋" w:eastAsia="仿宋" w:cs="Times New Roman"/>
          <w:sz w:val="26"/>
          <w:szCs w:val="26"/>
          <w:highlight w:val="none"/>
        </w:rPr>
        <w:t>2、评分表</w:t>
      </w:r>
    </w:p>
    <w:tbl>
      <w:tblPr>
        <w:tblStyle w:val="4"/>
        <w:tblW w:w="5000" w:type="pct"/>
        <w:tblInd w:w="0" w:type="dxa"/>
        <w:tblLayout w:type="autofit"/>
        <w:tblCellMar>
          <w:top w:w="0" w:type="dxa"/>
          <w:left w:w="108" w:type="dxa"/>
          <w:bottom w:w="0" w:type="dxa"/>
          <w:right w:w="108" w:type="dxa"/>
        </w:tblCellMar>
      </w:tblPr>
      <w:tblGrid>
        <w:gridCol w:w="736"/>
        <w:gridCol w:w="1528"/>
        <w:gridCol w:w="3279"/>
        <w:gridCol w:w="2243"/>
        <w:gridCol w:w="736"/>
      </w:tblGrid>
      <w:tr w14:paraId="00B02E21">
        <w:tblPrEx>
          <w:tblCellMar>
            <w:top w:w="0" w:type="dxa"/>
            <w:left w:w="108" w:type="dxa"/>
            <w:bottom w:w="0" w:type="dxa"/>
            <w:right w:w="108" w:type="dxa"/>
          </w:tblCellMar>
        </w:tblPrEx>
        <w:trPr>
          <w:trHeight w:val="540" w:hRule="atLeast"/>
        </w:trPr>
        <w:tc>
          <w:tcPr>
            <w:tcW w:w="313" w:type="pct"/>
            <w:tcBorders>
              <w:top w:val="single" w:color="auto" w:sz="8" w:space="0"/>
              <w:left w:val="single" w:color="auto" w:sz="8" w:space="0"/>
              <w:bottom w:val="single" w:color="auto" w:sz="8" w:space="0"/>
              <w:right w:val="single" w:color="auto" w:sz="8" w:space="0"/>
            </w:tcBorders>
            <w:noWrap/>
            <w:vAlign w:val="center"/>
          </w:tcPr>
          <w:p w14:paraId="3514BF8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序号</w:t>
            </w:r>
          </w:p>
        </w:tc>
        <w:tc>
          <w:tcPr>
            <w:tcW w:w="938" w:type="pct"/>
            <w:tcBorders>
              <w:top w:val="single" w:color="auto" w:sz="8" w:space="0"/>
              <w:left w:val="nil"/>
              <w:bottom w:val="single" w:color="auto" w:sz="8" w:space="0"/>
              <w:right w:val="single" w:color="auto" w:sz="8" w:space="0"/>
            </w:tcBorders>
            <w:noWrap/>
            <w:vAlign w:val="center"/>
          </w:tcPr>
          <w:p w14:paraId="7803F31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评分项目</w:t>
            </w:r>
          </w:p>
        </w:tc>
        <w:tc>
          <w:tcPr>
            <w:tcW w:w="1965" w:type="pct"/>
            <w:tcBorders>
              <w:top w:val="single" w:color="auto" w:sz="8" w:space="0"/>
              <w:left w:val="nil"/>
              <w:bottom w:val="single" w:color="auto" w:sz="8" w:space="0"/>
              <w:right w:val="single" w:color="auto" w:sz="8" w:space="0"/>
            </w:tcBorders>
            <w:noWrap/>
            <w:vAlign w:val="center"/>
          </w:tcPr>
          <w:p w14:paraId="4A924FF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评分标准</w:t>
            </w:r>
          </w:p>
        </w:tc>
        <w:tc>
          <w:tcPr>
            <w:tcW w:w="1357" w:type="pct"/>
            <w:tcBorders>
              <w:top w:val="single" w:color="auto" w:sz="8" w:space="0"/>
              <w:left w:val="nil"/>
              <w:bottom w:val="single" w:color="auto" w:sz="8" w:space="0"/>
              <w:right w:val="single" w:color="auto" w:sz="8" w:space="0"/>
            </w:tcBorders>
            <w:noWrap/>
            <w:vAlign w:val="center"/>
          </w:tcPr>
          <w:p w14:paraId="6A11913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评分依据</w:t>
            </w:r>
          </w:p>
        </w:tc>
        <w:tc>
          <w:tcPr>
            <w:tcW w:w="428" w:type="pct"/>
            <w:tcBorders>
              <w:top w:val="single" w:color="auto" w:sz="8" w:space="0"/>
              <w:left w:val="nil"/>
              <w:bottom w:val="single" w:color="auto" w:sz="8" w:space="0"/>
              <w:right w:val="single" w:color="auto" w:sz="8" w:space="0"/>
            </w:tcBorders>
            <w:noWrap/>
            <w:vAlign w:val="center"/>
          </w:tcPr>
          <w:p w14:paraId="3EFCBB7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满分</w:t>
            </w:r>
          </w:p>
        </w:tc>
      </w:tr>
      <w:tr w14:paraId="0AFC6AC6">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01E66B6E">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w:t>
            </w:r>
          </w:p>
        </w:tc>
        <w:tc>
          <w:tcPr>
            <w:tcW w:w="938" w:type="pct"/>
            <w:tcBorders>
              <w:top w:val="nil"/>
              <w:left w:val="nil"/>
              <w:bottom w:val="single" w:color="auto" w:sz="8" w:space="0"/>
              <w:right w:val="single" w:color="auto" w:sz="8" w:space="0"/>
            </w:tcBorders>
            <w:vAlign w:val="center"/>
          </w:tcPr>
          <w:p w14:paraId="7FB3FA5A">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贷款年利率</w:t>
            </w:r>
          </w:p>
        </w:tc>
        <w:tc>
          <w:tcPr>
            <w:tcW w:w="1965" w:type="pct"/>
            <w:tcBorders>
              <w:top w:val="nil"/>
              <w:left w:val="nil"/>
              <w:bottom w:val="single" w:color="auto" w:sz="8" w:space="0"/>
              <w:right w:val="single" w:color="auto" w:sz="8" w:space="0"/>
            </w:tcBorders>
            <w:vAlign w:val="center"/>
          </w:tcPr>
          <w:p w14:paraId="36985E85">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综合比较法：比选响应单位中贷款年利率最低的得满分，依次-3，依此类推。</w:t>
            </w:r>
          </w:p>
        </w:tc>
        <w:tc>
          <w:tcPr>
            <w:tcW w:w="1357" w:type="pct"/>
            <w:tcBorders>
              <w:top w:val="nil"/>
              <w:left w:val="nil"/>
              <w:bottom w:val="single" w:color="auto" w:sz="8" w:space="0"/>
              <w:right w:val="single" w:color="auto" w:sz="8" w:space="0"/>
            </w:tcBorders>
            <w:noWrap/>
            <w:vAlign w:val="center"/>
          </w:tcPr>
          <w:p w14:paraId="0E6EDD6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4E2F632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40</w:t>
            </w:r>
          </w:p>
        </w:tc>
      </w:tr>
      <w:tr w14:paraId="6D5F38DD">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1098F4F7">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2</w:t>
            </w:r>
          </w:p>
        </w:tc>
        <w:tc>
          <w:tcPr>
            <w:tcW w:w="938" w:type="pct"/>
            <w:tcBorders>
              <w:top w:val="nil"/>
              <w:left w:val="nil"/>
              <w:bottom w:val="single" w:color="auto" w:sz="8" w:space="0"/>
              <w:right w:val="single" w:color="auto" w:sz="8" w:space="0"/>
            </w:tcBorders>
            <w:vAlign w:val="center"/>
          </w:tcPr>
          <w:p w14:paraId="56FA62B3">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贷款投放金额</w:t>
            </w:r>
          </w:p>
        </w:tc>
        <w:tc>
          <w:tcPr>
            <w:tcW w:w="1965" w:type="pct"/>
            <w:tcBorders>
              <w:top w:val="nil"/>
              <w:left w:val="nil"/>
              <w:bottom w:val="single" w:color="auto" w:sz="8" w:space="0"/>
              <w:right w:val="single" w:color="auto" w:sz="8" w:space="0"/>
            </w:tcBorders>
            <w:vAlign w:val="center"/>
          </w:tcPr>
          <w:p w14:paraId="5EA944FE">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综合比较法：比选响应单位中投放金额最大的得满分，依次-1，依此类推。</w:t>
            </w:r>
          </w:p>
        </w:tc>
        <w:tc>
          <w:tcPr>
            <w:tcW w:w="1357" w:type="pct"/>
            <w:tcBorders>
              <w:top w:val="nil"/>
              <w:left w:val="nil"/>
              <w:bottom w:val="single" w:color="auto" w:sz="8" w:space="0"/>
              <w:right w:val="single" w:color="auto" w:sz="8" w:space="0"/>
            </w:tcBorders>
            <w:noWrap/>
            <w:vAlign w:val="center"/>
          </w:tcPr>
          <w:p w14:paraId="1EC8A78E">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12D0BFEA">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18FAC622">
        <w:tblPrEx>
          <w:tblCellMar>
            <w:top w:w="0" w:type="dxa"/>
            <w:left w:w="108" w:type="dxa"/>
            <w:bottom w:w="0" w:type="dxa"/>
            <w:right w:w="108" w:type="dxa"/>
          </w:tblCellMar>
        </w:tblPrEx>
        <w:trPr>
          <w:trHeight w:val="1360" w:hRule="atLeast"/>
        </w:trPr>
        <w:tc>
          <w:tcPr>
            <w:tcW w:w="313" w:type="pct"/>
            <w:tcBorders>
              <w:top w:val="nil"/>
              <w:left w:val="single" w:color="auto" w:sz="8" w:space="0"/>
              <w:bottom w:val="single" w:color="auto" w:sz="8" w:space="0"/>
              <w:right w:val="single" w:color="auto" w:sz="8" w:space="0"/>
            </w:tcBorders>
            <w:noWrap/>
            <w:vAlign w:val="center"/>
          </w:tcPr>
          <w:p w14:paraId="791573B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3</w:t>
            </w:r>
          </w:p>
        </w:tc>
        <w:tc>
          <w:tcPr>
            <w:tcW w:w="938" w:type="pct"/>
            <w:tcBorders>
              <w:top w:val="nil"/>
              <w:left w:val="nil"/>
              <w:bottom w:val="single" w:color="auto" w:sz="8" w:space="0"/>
              <w:right w:val="single" w:color="auto" w:sz="8" w:space="0"/>
            </w:tcBorders>
            <w:vAlign w:val="center"/>
          </w:tcPr>
          <w:p w14:paraId="47051004">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贷款是否需要分期还款</w:t>
            </w:r>
          </w:p>
        </w:tc>
        <w:tc>
          <w:tcPr>
            <w:tcW w:w="1965" w:type="pct"/>
            <w:tcBorders>
              <w:top w:val="nil"/>
              <w:left w:val="nil"/>
              <w:bottom w:val="single" w:color="auto" w:sz="8" w:space="0"/>
              <w:right w:val="single" w:color="auto" w:sz="8" w:space="0"/>
            </w:tcBorders>
            <w:vAlign w:val="center"/>
          </w:tcPr>
          <w:p w14:paraId="28444FE2">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综合比较法：比选响应单位中不需要分期还款的得满分，需要分期还款的最高分为8分，按照年还款总额由高到低依次-1，依此类推。</w:t>
            </w:r>
          </w:p>
        </w:tc>
        <w:tc>
          <w:tcPr>
            <w:tcW w:w="1357" w:type="pct"/>
            <w:tcBorders>
              <w:top w:val="nil"/>
              <w:left w:val="nil"/>
              <w:bottom w:val="single" w:color="auto" w:sz="8" w:space="0"/>
              <w:right w:val="single" w:color="auto" w:sz="8" w:space="0"/>
            </w:tcBorders>
            <w:noWrap/>
            <w:vAlign w:val="center"/>
          </w:tcPr>
          <w:p w14:paraId="5FB95031">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63463F6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771EE82A">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678FC1E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4</w:t>
            </w:r>
          </w:p>
        </w:tc>
        <w:tc>
          <w:tcPr>
            <w:tcW w:w="938" w:type="pct"/>
            <w:tcBorders>
              <w:top w:val="nil"/>
              <w:left w:val="nil"/>
              <w:bottom w:val="single" w:color="auto" w:sz="8" w:space="0"/>
              <w:right w:val="single" w:color="auto" w:sz="8" w:space="0"/>
            </w:tcBorders>
            <w:vAlign w:val="center"/>
          </w:tcPr>
          <w:p w14:paraId="110F3DB9">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xml:space="preserve">贷款发放条件 </w:t>
            </w:r>
          </w:p>
        </w:tc>
        <w:tc>
          <w:tcPr>
            <w:tcW w:w="1965" w:type="pct"/>
            <w:tcBorders>
              <w:top w:val="nil"/>
              <w:left w:val="nil"/>
              <w:bottom w:val="single" w:color="auto" w:sz="8" w:space="0"/>
              <w:right w:val="single" w:color="auto" w:sz="8" w:space="0"/>
            </w:tcBorders>
            <w:vAlign w:val="center"/>
          </w:tcPr>
          <w:p w14:paraId="10BFA486">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综合比较法：比选响应单位中贷款发放条件要求最低的得满分，依次-1，依此类推。</w:t>
            </w:r>
          </w:p>
        </w:tc>
        <w:tc>
          <w:tcPr>
            <w:tcW w:w="1357" w:type="pct"/>
            <w:tcBorders>
              <w:top w:val="nil"/>
              <w:left w:val="nil"/>
              <w:bottom w:val="single" w:color="auto" w:sz="8" w:space="0"/>
              <w:right w:val="single" w:color="auto" w:sz="8" w:space="0"/>
            </w:tcBorders>
            <w:noWrap/>
            <w:vAlign w:val="center"/>
          </w:tcPr>
          <w:p w14:paraId="231752A4">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50CA2CA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0B3CA0D5">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77BD7EA1">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5</w:t>
            </w:r>
          </w:p>
        </w:tc>
        <w:tc>
          <w:tcPr>
            <w:tcW w:w="938" w:type="pct"/>
            <w:tcBorders>
              <w:top w:val="nil"/>
              <w:left w:val="nil"/>
              <w:bottom w:val="single" w:color="auto" w:sz="8" w:space="0"/>
              <w:right w:val="single" w:color="auto" w:sz="8" w:space="0"/>
            </w:tcBorders>
            <w:vAlign w:val="center"/>
          </w:tcPr>
          <w:p w14:paraId="3BAFCB91">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是否可按招标人意愿时间提前还款（明确是/否）</w:t>
            </w:r>
          </w:p>
        </w:tc>
        <w:tc>
          <w:tcPr>
            <w:tcW w:w="1965" w:type="pct"/>
            <w:tcBorders>
              <w:top w:val="nil"/>
              <w:left w:val="nil"/>
              <w:bottom w:val="single" w:color="auto" w:sz="8" w:space="0"/>
              <w:right w:val="single" w:color="auto" w:sz="8" w:space="0"/>
            </w:tcBorders>
            <w:vAlign w:val="center"/>
          </w:tcPr>
          <w:p w14:paraId="622154DD">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直接选择法：是得满分；否得零分</w:t>
            </w:r>
          </w:p>
        </w:tc>
        <w:tc>
          <w:tcPr>
            <w:tcW w:w="1357" w:type="pct"/>
            <w:tcBorders>
              <w:top w:val="nil"/>
              <w:left w:val="nil"/>
              <w:bottom w:val="single" w:color="auto" w:sz="8" w:space="0"/>
              <w:right w:val="single" w:color="auto" w:sz="8" w:space="0"/>
            </w:tcBorders>
            <w:noWrap/>
            <w:vAlign w:val="center"/>
          </w:tcPr>
          <w:p w14:paraId="33C17E4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2117058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051ADCB1">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2FF2BE1B">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6</w:t>
            </w:r>
          </w:p>
        </w:tc>
        <w:tc>
          <w:tcPr>
            <w:tcW w:w="938" w:type="pct"/>
            <w:tcBorders>
              <w:top w:val="nil"/>
              <w:left w:val="nil"/>
              <w:bottom w:val="single" w:color="auto" w:sz="8" w:space="0"/>
              <w:right w:val="single" w:color="auto" w:sz="8" w:space="0"/>
            </w:tcBorders>
            <w:vAlign w:val="center"/>
          </w:tcPr>
          <w:p w14:paraId="0E73EA87">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贷款放款周期</w:t>
            </w:r>
          </w:p>
        </w:tc>
        <w:tc>
          <w:tcPr>
            <w:tcW w:w="1965" w:type="pct"/>
            <w:tcBorders>
              <w:top w:val="nil"/>
              <w:left w:val="nil"/>
              <w:bottom w:val="single" w:color="auto" w:sz="8" w:space="0"/>
              <w:right w:val="single" w:color="auto" w:sz="8" w:space="0"/>
            </w:tcBorders>
            <w:vAlign w:val="center"/>
          </w:tcPr>
          <w:p w14:paraId="0FF8F2EB">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综合比较法：比选响应单位中贷款放款周期最短的得满分，依次-1，依此类推。</w:t>
            </w:r>
          </w:p>
        </w:tc>
        <w:tc>
          <w:tcPr>
            <w:tcW w:w="1357" w:type="pct"/>
            <w:tcBorders>
              <w:top w:val="nil"/>
              <w:left w:val="nil"/>
              <w:bottom w:val="single" w:color="auto" w:sz="8" w:space="0"/>
              <w:right w:val="single" w:color="auto" w:sz="8" w:space="0"/>
            </w:tcBorders>
            <w:noWrap/>
            <w:vAlign w:val="center"/>
          </w:tcPr>
          <w:p w14:paraId="5C8BEBD9">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7EE3D2CC">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2203ED50">
        <w:tblPrEx>
          <w:tblCellMar>
            <w:top w:w="0" w:type="dxa"/>
            <w:left w:w="108" w:type="dxa"/>
            <w:bottom w:w="0" w:type="dxa"/>
            <w:right w:w="108" w:type="dxa"/>
          </w:tblCellMar>
        </w:tblPrEx>
        <w:trPr>
          <w:trHeight w:val="1210" w:hRule="atLeast"/>
        </w:trPr>
        <w:tc>
          <w:tcPr>
            <w:tcW w:w="313" w:type="pct"/>
            <w:tcBorders>
              <w:top w:val="nil"/>
              <w:left w:val="single" w:color="auto" w:sz="8" w:space="0"/>
              <w:bottom w:val="single" w:color="auto" w:sz="8" w:space="0"/>
              <w:right w:val="single" w:color="auto" w:sz="8" w:space="0"/>
            </w:tcBorders>
            <w:noWrap/>
            <w:vAlign w:val="center"/>
          </w:tcPr>
          <w:p w14:paraId="72911A16">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7</w:t>
            </w:r>
          </w:p>
        </w:tc>
        <w:tc>
          <w:tcPr>
            <w:tcW w:w="938" w:type="pct"/>
            <w:tcBorders>
              <w:top w:val="nil"/>
              <w:left w:val="nil"/>
              <w:bottom w:val="single" w:color="auto" w:sz="8" w:space="0"/>
              <w:right w:val="single" w:color="auto" w:sz="8" w:space="0"/>
            </w:tcBorders>
            <w:vAlign w:val="center"/>
          </w:tcPr>
          <w:p w14:paraId="43A2A924">
            <w:pPr>
              <w:widowControl/>
              <w:jc w:val="left"/>
              <w:rPr>
                <w:rFonts w:hint="eastAsia" w:ascii="仿宋" w:hAnsi="仿宋" w:eastAsia="仿宋" w:cs="宋体"/>
                <w:color w:val="000000"/>
                <w:kern w:val="0"/>
                <w:sz w:val="27"/>
                <w:szCs w:val="27"/>
                <w:highlight w:val="none"/>
              </w:rPr>
            </w:pPr>
            <w:r>
              <w:rPr>
                <w:rFonts w:hint="eastAsia" w:ascii="仿宋" w:hAnsi="仿宋" w:eastAsia="仿宋" w:cs="仿宋"/>
                <w:color w:val="000000"/>
                <w:sz w:val="27"/>
                <w:szCs w:val="27"/>
                <w:highlight w:val="none"/>
              </w:rPr>
              <w:t>参与天航局各类融资的金融机构选聘比选次数（</w:t>
            </w:r>
            <w:r>
              <w:rPr>
                <w:rFonts w:hint="eastAsia" w:ascii="仿宋" w:hAnsi="仿宋" w:eastAsia="仿宋" w:cs="仿宋"/>
                <w:color w:val="000000"/>
                <w:sz w:val="26"/>
                <w:szCs w:val="26"/>
                <w:highlight w:val="none"/>
              </w:rPr>
              <w:t>自招标日开始向前推1年</w:t>
            </w:r>
            <w:r>
              <w:rPr>
                <w:rFonts w:hint="eastAsia" w:ascii="仿宋" w:hAnsi="仿宋" w:eastAsia="仿宋" w:cs="仿宋"/>
                <w:color w:val="000000"/>
                <w:sz w:val="26"/>
                <w:szCs w:val="26"/>
                <w:highlight w:val="none"/>
              </w:rPr>
              <w:t>，参与天航局范围内各类融资业务正式招标、及询比价（有正式询价单）等书面材料为标准</w:t>
            </w:r>
            <w:r>
              <w:rPr>
                <w:rFonts w:hint="eastAsia" w:ascii="仿宋" w:hAnsi="仿宋" w:eastAsia="仿宋" w:cs="仿宋"/>
                <w:color w:val="000000"/>
                <w:sz w:val="27"/>
                <w:szCs w:val="27"/>
                <w:highlight w:val="none"/>
              </w:rPr>
              <w:t>）</w:t>
            </w:r>
          </w:p>
        </w:tc>
        <w:tc>
          <w:tcPr>
            <w:tcW w:w="1965" w:type="pct"/>
            <w:tcBorders>
              <w:top w:val="nil"/>
              <w:left w:val="nil"/>
              <w:bottom w:val="single" w:color="auto" w:sz="8" w:space="0"/>
              <w:right w:val="single" w:color="auto" w:sz="8" w:space="0"/>
            </w:tcBorders>
            <w:vAlign w:val="center"/>
          </w:tcPr>
          <w:p w14:paraId="523F9A53">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综合比较法：比选响应单位中参与比选次数最多的得满分，依次</w:t>
            </w:r>
            <w:r>
              <w:rPr>
                <w:rFonts w:ascii="仿宋" w:hAnsi="仿宋" w:eastAsia="仿宋" w:cs="宋体"/>
                <w:color w:val="000000"/>
                <w:kern w:val="0"/>
                <w:sz w:val="26"/>
                <w:szCs w:val="26"/>
                <w:highlight w:val="none"/>
              </w:rPr>
              <w:t>-</w:t>
            </w:r>
            <w:r>
              <w:rPr>
                <w:rFonts w:hint="eastAsia" w:ascii="仿宋" w:hAnsi="仿宋" w:eastAsia="仿宋" w:cs="宋体"/>
                <w:color w:val="000000"/>
                <w:kern w:val="0"/>
                <w:sz w:val="26"/>
                <w:szCs w:val="26"/>
                <w:highlight w:val="none"/>
              </w:rPr>
              <w:t>1</w:t>
            </w:r>
            <w:r>
              <w:rPr>
                <w:rFonts w:ascii="仿宋" w:hAnsi="仿宋" w:eastAsia="仿宋" w:cs="宋体"/>
                <w:color w:val="000000"/>
                <w:kern w:val="0"/>
                <w:sz w:val="26"/>
                <w:szCs w:val="26"/>
                <w:highlight w:val="none"/>
              </w:rPr>
              <w:t>，依此类推。</w:t>
            </w:r>
          </w:p>
        </w:tc>
        <w:tc>
          <w:tcPr>
            <w:tcW w:w="1357" w:type="pct"/>
            <w:tcBorders>
              <w:top w:val="nil"/>
              <w:left w:val="nil"/>
              <w:bottom w:val="single" w:color="auto" w:sz="8" w:space="0"/>
              <w:right w:val="single" w:color="auto" w:sz="8" w:space="0"/>
            </w:tcBorders>
            <w:noWrap/>
            <w:vAlign w:val="center"/>
          </w:tcPr>
          <w:p w14:paraId="6D105098">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服务方案</w:t>
            </w:r>
          </w:p>
        </w:tc>
        <w:tc>
          <w:tcPr>
            <w:tcW w:w="428" w:type="pct"/>
            <w:tcBorders>
              <w:top w:val="nil"/>
              <w:left w:val="nil"/>
              <w:bottom w:val="single" w:color="auto" w:sz="8" w:space="0"/>
              <w:right w:val="single" w:color="auto" w:sz="8" w:space="0"/>
            </w:tcBorders>
            <w:noWrap/>
            <w:vAlign w:val="center"/>
          </w:tcPr>
          <w:p w14:paraId="25F0CD62">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w:t>
            </w:r>
          </w:p>
        </w:tc>
      </w:tr>
      <w:tr w14:paraId="7C0C69B8">
        <w:tblPrEx>
          <w:tblCellMar>
            <w:top w:w="0" w:type="dxa"/>
            <w:left w:w="108" w:type="dxa"/>
            <w:bottom w:w="0" w:type="dxa"/>
            <w:right w:w="108" w:type="dxa"/>
          </w:tblCellMar>
        </w:tblPrEx>
        <w:trPr>
          <w:trHeight w:val="540" w:hRule="atLeast"/>
        </w:trPr>
        <w:tc>
          <w:tcPr>
            <w:tcW w:w="313" w:type="pct"/>
            <w:tcBorders>
              <w:top w:val="nil"/>
              <w:left w:val="single" w:color="auto" w:sz="8" w:space="0"/>
              <w:bottom w:val="single" w:color="auto" w:sz="8" w:space="0"/>
              <w:right w:val="single" w:color="auto" w:sz="8" w:space="0"/>
            </w:tcBorders>
            <w:noWrap/>
            <w:vAlign w:val="center"/>
          </w:tcPr>
          <w:p w14:paraId="0BB3DF32">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满分</w:t>
            </w:r>
          </w:p>
        </w:tc>
        <w:tc>
          <w:tcPr>
            <w:tcW w:w="938" w:type="pct"/>
            <w:tcBorders>
              <w:top w:val="nil"/>
              <w:left w:val="nil"/>
              <w:bottom w:val="single" w:color="auto" w:sz="8" w:space="0"/>
              <w:right w:val="single" w:color="auto" w:sz="8" w:space="0"/>
            </w:tcBorders>
            <w:noWrap/>
            <w:vAlign w:val="center"/>
          </w:tcPr>
          <w:p w14:paraId="0E863F6F">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1965" w:type="pct"/>
            <w:tcBorders>
              <w:top w:val="nil"/>
              <w:left w:val="nil"/>
              <w:bottom w:val="single" w:color="auto" w:sz="8" w:space="0"/>
              <w:right w:val="single" w:color="auto" w:sz="8" w:space="0"/>
            </w:tcBorders>
            <w:noWrap/>
            <w:vAlign w:val="center"/>
          </w:tcPr>
          <w:p w14:paraId="4F3C36A0">
            <w:pPr>
              <w:widowControl/>
              <w:jc w:val="left"/>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1357" w:type="pct"/>
            <w:tcBorders>
              <w:top w:val="nil"/>
              <w:left w:val="nil"/>
              <w:bottom w:val="single" w:color="auto" w:sz="8" w:space="0"/>
              <w:right w:val="single" w:color="auto" w:sz="8" w:space="0"/>
            </w:tcBorders>
            <w:noWrap/>
            <w:vAlign w:val="center"/>
          </w:tcPr>
          <w:p w14:paraId="540885E5">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　</w:t>
            </w:r>
          </w:p>
        </w:tc>
        <w:tc>
          <w:tcPr>
            <w:tcW w:w="428" w:type="pct"/>
            <w:tcBorders>
              <w:top w:val="nil"/>
              <w:left w:val="nil"/>
              <w:bottom w:val="single" w:color="auto" w:sz="8" w:space="0"/>
              <w:right w:val="single" w:color="auto" w:sz="8" w:space="0"/>
            </w:tcBorders>
            <w:noWrap/>
            <w:vAlign w:val="center"/>
          </w:tcPr>
          <w:p w14:paraId="66058000">
            <w:pPr>
              <w:widowControl/>
              <w:jc w:val="center"/>
              <w:rPr>
                <w:rFonts w:hint="eastAsia" w:ascii="仿宋" w:hAnsi="仿宋" w:eastAsia="仿宋" w:cs="宋体"/>
                <w:color w:val="000000"/>
                <w:kern w:val="0"/>
                <w:sz w:val="26"/>
                <w:szCs w:val="26"/>
                <w:highlight w:val="none"/>
              </w:rPr>
            </w:pPr>
            <w:r>
              <w:rPr>
                <w:rFonts w:hint="eastAsia" w:ascii="仿宋" w:hAnsi="仿宋" w:eastAsia="仿宋" w:cs="宋体"/>
                <w:color w:val="000000"/>
                <w:kern w:val="0"/>
                <w:sz w:val="26"/>
                <w:szCs w:val="26"/>
                <w:highlight w:val="none"/>
              </w:rPr>
              <w:t>100</w:t>
            </w:r>
          </w:p>
        </w:tc>
      </w:tr>
    </w:tbl>
    <w:p w14:paraId="7AE6BCC9">
      <w:pPr>
        <w:widowControl/>
        <w:ind w:firstLine="520" w:firstLineChars="200"/>
        <w:jc w:val="left"/>
        <w:rPr>
          <w:rFonts w:hint="eastAsia" w:ascii="仿宋" w:hAnsi="仿宋" w:eastAsia="仿宋" w:cs="Times New Roman"/>
          <w:sz w:val="26"/>
          <w:szCs w:val="26"/>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C7630"/>
    <w:multiLevelType w:val="multilevel"/>
    <w:tmpl w:val="21AC7630"/>
    <w:lvl w:ilvl="0" w:tentative="0">
      <w:start w:val="1"/>
      <w:numFmt w:val="decimal"/>
      <w:lvlText w:val="%1."/>
      <w:lvlJc w:val="left"/>
      <w:pPr>
        <w:ind w:left="785" w:hanging="360"/>
      </w:pPr>
      <w:rPr>
        <w:rFonts w:hint="default"/>
      </w:rPr>
    </w:lvl>
    <w:lvl w:ilvl="1" w:tentative="0">
      <w:start w:val="1"/>
      <w:numFmt w:val="lowerLetter"/>
      <w:lvlText w:val="%2)"/>
      <w:lvlJc w:val="left"/>
      <w:pPr>
        <w:ind w:left="1400" w:hanging="440"/>
      </w:pPr>
    </w:lvl>
    <w:lvl w:ilvl="2" w:tentative="0">
      <w:start w:val="1"/>
      <w:numFmt w:val="lowerRoman"/>
      <w:lvlText w:val="%3."/>
      <w:lvlJc w:val="right"/>
      <w:pPr>
        <w:ind w:left="1840" w:hanging="440"/>
      </w:pPr>
    </w:lvl>
    <w:lvl w:ilvl="3" w:tentative="0">
      <w:start w:val="1"/>
      <w:numFmt w:val="decimal"/>
      <w:lvlText w:val="%4."/>
      <w:lvlJc w:val="left"/>
      <w:pPr>
        <w:ind w:left="2280" w:hanging="440"/>
      </w:pPr>
    </w:lvl>
    <w:lvl w:ilvl="4" w:tentative="0">
      <w:start w:val="1"/>
      <w:numFmt w:val="lowerLetter"/>
      <w:lvlText w:val="%5)"/>
      <w:lvlJc w:val="left"/>
      <w:pPr>
        <w:ind w:left="2720" w:hanging="440"/>
      </w:pPr>
    </w:lvl>
    <w:lvl w:ilvl="5" w:tentative="0">
      <w:start w:val="1"/>
      <w:numFmt w:val="lowerRoman"/>
      <w:lvlText w:val="%6."/>
      <w:lvlJc w:val="right"/>
      <w:pPr>
        <w:ind w:left="3160" w:hanging="440"/>
      </w:pPr>
    </w:lvl>
    <w:lvl w:ilvl="6" w:tentative="0">
      <w:start w:val="1"/>
      <w:numFmt w:val="decimal"/>
      <w:lvlText w:val="%7."/>
      <w:lvlJc w:val="left"/>
      <w:pPr>
        <w:ind w:left="3600" w:hanging="440"/>
      </w:pPr>
    </w:lvl>
    <w:lvl w:ilvl="7" w:tentative="0">
      <w:start w:val="1"/>
      <w:numFmt w:val="lowerLetter"/>
      <w:lvlText w:val="%8)"/>
      <w:lvlJc w:val="left"/>
      <w:pPr>
        <w:ind w:left="4040" w:hanging="440"/>
      </w:pPr>
    </w:lvl>
    <w:lvl w:ilvl="8" w:tentative="0">
      <w:start w:val="1"/>
      <w:numFmt w:val="lowerRoman"/>
      <w:lvlText w:val="%9."/>
      <w:lvlJc w:val="right"/>
      <w:pPr>
        <w:ind w:left="4480" w:hanging="440"/>
      </w:pPr>
    </w:lvl>
  </w:abstractNum>
  <w:abstractNum w:abstractNumId="1">
    <w:nsid w:val="457F495E"/>
    <w:multiLevelType w:val="multilevel"/>
    <w:tmpl w:val="457F495E"/>
    <w:lvl w:ilvl="0" w:tentative="0">
      <w:start w:val="1"/>
      <w:numFmt w:val="decimal"/>
      <w:lvlText w:val="%1."/>
      <w:lvlJc w:val="left"/>
      <w:pPr>
        <w:ind w:left="880" w:hanging="360"/>
      </w:pPr>
      <w:rPr>
        <w:rFonts w:hint="default"/>
      </w:rPr>
    </w:lvl>
    <w:lvl w:ilvl="1" w:tentative="0">
      <w:start w:val="1"/>
      <w:numFmt w:val="lowerLetter"/>
      <w:lvlText w:val="%2)"/>
      <w:lvlJc w:val="left"/>
      <w:pPr>
        <w:ind w:left="1400" w:hanging="440"/>
      </w:pPr>
    </w:lvl>
    <w:lvl w:ilvl="2" w:tentative="0">
      <w:start w:val="1"/>
      <w:numFmt w:val="lowerRoman"/>
      <w:lvlText w:val="%3."/>
      <w:lvlJc w:val="right"/>
      <w:pPr>
        <w:ind w:left="1840" w:hanging="440"/>
      </w:pPr>
    </w:lvl>
    <w:lvl w:ilvl="3" w:tentative="0">
      <w:start w:val="1"/>
      <w:numFmt w:val="decimal"/>
      <w:lvlText w:val="%4."/>
      <w:lvlJc w:val="left"/>
      <w:pPr>
        <w:ind w:left="2280" w:hanging="440"/>
      </w:pPr>
    </w:lvl>
    <w:lvl w:ilvl="4" w:tentative="0">
      <w:start w:val="1"/>
      <w:numFmt w:val="lowerLetter"/>
      <w:lvlText w:val="%5)"/>
      <w:lvlJc w:val="left"/>
      <w:pPr>
        <w:ind w:left="2720" w:hanging="440"/>
      </w:pPr>
    </w:lvl>
    <w:lvl w:ilvl="5" w:tentative="0">
      <w:start w:val="1"/>
      <w:numFmt w:val="lowerRoman"/>
      <w:lvlText w:val="%6."/>
      <w:lvlJc w:val="right"/>
      <w:pPr>
        <w:ind w:left="3160" w:hanging="440"/>
      </w:pPr>
    </w:lvl>
    <w:lvl w:ilvl="6" w:tentative="0">
      <w:start w:val="1"/>
      <w:numFmt w:val="decimal"/>
      <w:lvlText w:val="%7."/>
      <w:lvlJc w:val="left"/>
      <w:pPr>
        <w:ind w:left="3600" w:hanging="440"/>
      </w:pPr>
    </w:lvl>
    <w:lvl w:ilvl="7" w:tentative="0">
      <w:start w:val="1"/>
      <w:numFmt w:val="lowerLetter"/>
      <w:lvlText w:val="%8)"/>
      <w:lvlJc w:val="left"/>
      <w:pPr>
        <w:ind w:left="4040" w:hanging="440"/>
      </w:pPr>
    </w:lvl>
    <w:lvl w:ilvl="8" w:tentative="0">
      <w:start w:val="1"/>
      <w:numFmt w:val="lowerRoman"/>
      <w:lvlText w:val="%9."/>
      <w:lvlJc w:val="right"/>
      <w:pPr>
        <w:ind w:left="4480" w:hanging="440"/>
      </w:pPr>
    </w:lvl>
  </w:abstractNum>
  <w:abstractNum w:abstractNumId="2">
    <w:nsid w:val="47EA1D9B"/>
    <w:multiLevelType w:val="multilevel"/>
    <w:tmpl w:val="47EA1D9B"/>
    <w:lvl w:ilvl="0" w:tentative="0">
      <w:start w:val="2"/>
      <w:numFmt w:val="decimal"/>
      <w:lvlText w:val="%1、"/>
      <w:lvlJc w:val="left"/>
      <w:pPr>
        <w:ind w:left="1080" w:hanging="36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CC"/>
    <w:rsid w:val="00000B60"/>
    <w:rsid w:val="00002CF7"/>
    <w:rsid w:val="00006A09"/>
    <w:rsid w:val="000470D3"/>
    <w:rsid w:val="0005045E"/>
    <w:rsid w:val="00060C93"/>
    <w:rsid w:val="00086320"/>
    <w:rsid w:val="00097C1E"/>
    <w:rsid w:val="000E7078"/>
    <w:rsid w:val="00147157"/>
    <w:rsid w:val="00182778"/>
    <w:rsid w:val="001D4E84"/>
    <w:rsid w:val="00246C94"/>
    <w:rsid w:val="00266DE0"/>
    <w:rsid w:val="0028072C"/>
    <w:rsid w:val="00281FC2"/>
    <w:rsid w:val="002828E6"/>
    <w:rsid w:val="0029372C"/>
    <w:rsid w:val="002A7AF5"/>
    <w:rsid w:val="002D1710"/>
    <w:rsid w:val="002D48A4"/>
    <w:rsid w:val="002D4C8C"/>
    <w:rsid w:val="002F6B93"/>
    <w:rsid w:val="00313942"/>
    <w:rsid w:val="00313BAF"/>
    <w:rsid w:val="00323AC7"/>
    <w:rsid w:val="00335414"/>
    <w:rsid w:val="003360CF"/>
    <w:rsid w:val="00357FFE"/>
    <w:rsid w:val="00364747"/>
    <w:rsid w:val="00386414"/>
    <w:rsid w:val="003F4439"/>
    <w:rsid w:val="00400252"/>
    <w:rsid w:val="004115CB"/>
    <w:rsid w:val="00412817"/>
    <w:rsid w:val="0042273D"/>
    <w:rsid w:val="00425E41"/>
    <w:rsid w:val="004440E2"/>
    <w:rsid w:val="004443C5"/>
    <w:rsid w:val="00453119"/>
    <w:rsid w:val="00453349"/>
    <w:rsid w:val="00455C99"/>
    <w:rsid w:val="00464FA8"/>
    <w:rsid w:val="00466542"/>
    <w:rsid w:val="00473DA1"/>
    <w:rsid w:val="004A2EE5"/>
    <w:rsid w:val="004F4BEF"/>
    <w:rsid w:val="00520B65"/>
    <w:rsid w:val="00535D34"/>
    <w:rsid w:val="005364B8"/>
    <w:rsid w:val="00556D31"/>
    <w:rsid w:val="00587AD2"/>
    <w:rsid w:val="00594B6E"/>
    <w:rsid w:val="005E1DE8"/>
    <w:rsid w:val="005E3B65"/>
    <w:rsid w:val="00604841"/>
    <w:rsid w:val="006237CC"/>
    <w:rsid w:val="00646D00"/>
    <w:rsid w:val="00650898"/>
    <w:rsid w:val="00661C95"/>
    <w:rsid w:val="00661F09"/>
    <w:rsid w:val="00693D33"/>
    <w:rsid w:val="006E6A9B"/>
    <w:rsid w:val="006F344F"/>
    <w:rsid w:val="007056EB"/>
    <w:rsid w:val="00705FC6"/>
    <w:rsid w:val="00733854"/>
    <w:rsid w:val="007544ED"/>
    <w:rsid w:val="00763146"/>
    <w:rsid w:val="007658F1"/>
    <w:rsid w:val="007678A0"/>
    <w:rsid w:val="007710A4"/>
    <w:rsid w:val="007B19CB"/>
    <w:rsid w:val="007E07F8"/>
    <w:rsid w:val="007E08BD"/>
    <w:rsid w:val="007F4AA0"/>
    <w:rsid w:val="008076FC"/>
    <w:rsid w:val="008121B0"/>
    <w:rsid w:val="00820E1A"/>
    <w:rsid w:val="0082430C"/>
    <w:rsid w:val="008440E8"/>
    <w:rsid w:val="00845822"/>
    <w:rsid w:val="00854C3F"/>
    <w:rsid w:val="008652E1"/>
    <w:rsid w:val="008A7247"/>
    <w:rsid w:val="008C2B87"/>
    <w:rsid w:val="008D3176"/>
    <w:rsid w:val="009008C2"/>
    <w:rsid w:val="00903F25"/>
    <w:rsid w:val="009143DA"/>
    <w:rsid w:val="00927971"/>
    <w:rsid w:val="00933363"/>
    <w:rsid w:val="00981358"/>
    <w:rsid w:val="0099157A"/>
    <w:rsid w:val="00992225"/>
    <w:rsid w:val="009B7AFB"/>
    <w:rsid w:val="009E381F"/>
    <w:rsid w:val="00A11D6C"/>
    <w:rsid w:val="00A40066"/>
    <w:rsid w:val="00A418B8"/>
    <w:rsid w:val="00A63D31"/>
    <w:rsid w:val="00A87FFB"/>
    <w:rsid w:val="00AA70D2"/>
    <w:rsid w:val="00AD4C20"/>
    <w:rsid w:val="00AF2790"/>
    <w:rsid w:val="00B05C6E"/>
    <w:rsid w:val="00B66101"/>
    <w:rsid w:val="00BD3E89"/>
    <w:rsid w:val="00BF7AE1"/>
    <w:rsid w:val="00C03EF6"/>
    <w:rsid w:val="00C426D8"/>
    <w:rsid w:val="00C46132"/>
    <w:rsid w:val="00C46BD1"/>
    <w:rsid w:val="00C61A0C"/>
    <w:rsid w:val="00C72871"/>
    <w:rsid w:val="00C84B56"/>
    <w:rsid w:val="00C94025"/>
    <w:rsid w:val="00CB2328"/>
    <w:rsid w:val="00CB45D7"/>
    <w:rsid w:val="00CD5186"/>
    <w:rsid w:val="00CE428E"/>
    <w:rsid w:val="00D21EC8"/>
    <w:rsid w:val="00D4515A"/>
    <w:rsid w:val="00D51BDF"/>
    <w:rsid w:val="00DB3867"/>
    <w:rsid w:val="00DD2DE9"/>
    <w:rsid w:val="00E01036"/>
    <w:rsid w:val="00E10A82"/>
    <w:rsid w:val="00E11F45"/>
    <w:rsid w:val="00E42166"/>
    <w:rsid w:val="00E61470"/>
    <w:rsid w:val="00E674A9"/>
    <w:rsid w:val="00E6769F"/>
    <w:rsid w:val="00EC25EA"/>
    <w:rsid w:val="00EE3A51"/>
    <w:rsid w:val="00EE3FF8"/>
    <w:rsid w:val="00F156C2"/>
    <w:rsid w:val="00F340B1"/>
    <w:rsid w:val="00F4024E"/>
    <w:rsid w:val="00F8547A"/>
    <w:rsid w:val="00FA0905"/>
    <w:rsid w:val="00FA6AC2"/>
    <w:rsid w:val="00FB56D0"/>
    <w:rsid w:val="00FF5ED6"/>
    <w:rsid w:val="0B953E85"/>
    <w:rsid w:val="58DF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 w:type="character" w:customStyle="1" w:styleId="11">
    <w:name w:val="未处理的提及1"/>
    <w:basedOn w:val="6"/>
    <w:semiHidden/>
    <w:unhideWhenUsed/>
    <w:uiPriority w:val="99"/>
    <w:rPr>
      <w:color w:val="605E5C"/>
      <w:shd w:val="clear" w:color="auto" w:fill="E1DFDD"/>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3005</Words>
  <Characters>3097</Characters>
  <Lines>163</Lines>
  <Paragraphs>168</Paragraphs>
  <TotalTime>708</TotalTime>
  <ScaleCrop>false</ScaleCrop>
  <LinksUpToDate>false</LinksUpToDate>
  <CharactersWithSpaces>3295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2024-01-08T06:50:00Z</dcterms:created>
  <dc:creator>大头皮鞋</dc:creator>
  <cp:lastModifiedBy>zyh</cp:lastModifiedBy>
  <cp:lastPrinted>2024-01-10T03:23:00Z</cp:lastPrinted>
  <dcterms:modified xsi:type="dcterms:W3CDTF">2026-01-09T06:03:02Z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eyJoZGlkIjoiZTQ4ZTkyM2ZlYjc5NzUxZTQyNDM1YjUxNDRjYjkyNWYiLCJ1c2VySWQiOiI0MjEwNDUzMzkifQ==</vt:lpwstr>
  </property>
  <property fmtid="{D5CDD505-2E9C-101B-9397-08002B2CF9AE}" pid="3" name="KSOProductBuildVer">
    <vt:lpwstr>2052-12.1.0.24657</vt:lpwstr>
  </property>
  <property fmtid="{D5CDD505-2E9C-101B-9397-08002B2CF9AE}" pid="4" name="ICV">
    <vt:lpwstr>CCA17A357E854A18ACD02E9E1B935486_12</vt:lpwstr>
  </property>
</Properties>
</file>